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F20BD" w14:textId="77777777" w:rsidR="00C376B7" w:rsidRDefault="00DA720F">
      <w:pPr>
        <w:ind w:left="-426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Информация об итогах деятельности Фонда</w:t>
      </w:r>
    </w:p>
    <w:p w14:paraId="5317B4D2" w14:textId="77777777" w:rsidR="00C376B7" w:rsidRDefault="00DA720F">
      <w:pPr>
        <w:ind w:left="-426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развития Югры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(далее – Фонд)</w:t>
      </w:r>
      <w:r>
        <w:rPr>
          <w:rFonts w:eastAsia="Times New Roman"/>
          <w:b/>
          <w:sz w:val="28"/>
          <w:szCs w:val="28"/>
        </w:rPr>
        <w:t xml:space="preserve"> за 2025 год </w:t>
      </w:r>
    </w:p>
    <w:p w14:paraId="4F80C50A" w14:textId="77777777" w:rsidR="00C376B7" w:rsidRDefault="00DA720F">
      <w:pPr>
        <w:ind w:left="-426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и о планах на 2026 год </w:t>
      </w:r>
    </w:p>
    <w:p w14:paraId="1A13E7ED" w14:textId="77777777" w:rsidR="00C376B7" w:rsidRDefault="00C376B7">
      <w:pPr>
        <w:ind w:left="-426"/>
        <w:jc w:val="both"/>
        <w:rPr>
          <w:rFonts w:eastAsia="Times New Roman"/>
          <w:sz w:val="28"/>
          <w:szCs w:val="28"/>
        </w:rPr>
      </w:pPr>
    </w:p>
    <w:p w14:paraId="08B53A08" w14:textId="2736B0EE" w:rsidR="00C376B7" w:rsidRDefault="00DA720F">
      <w:pPr>
        <w:spacing w:line="276" w:lineRule="auto"/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направления деятельности (компетенции) Фонда развития Ханты-Мансийского автономного округа – Югры (далее – автономный округ, Югра):</w:t>
      </w:r>
    </w:p>
    <w:p w14:paraId="2B7FEA99" w14:textId="77777777" w:rsidR="00C376B7" w:rsidRDefault="00DA720F">
      <w:pPr>
        <w:tabs>
          <w:tab w:val="left" w:pos="567"/>
        </w:tabs>
        <w:spacing w:line="276" w:lineRule="auto"/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− осуществление функций специализированной организации Югры по привлечению инвестиций и работе с инвесторами, сопровождение инвестиционных проектов по принципу «одного окна»;</w:t>
      </w:r>
    </w:p>
    <w:p w14:paraId="6557B111" w14:textId="77777777" w:rsidR="00C376B7" w:rsidRDefault="00DA720F">
      <w:pPr>
        <w:tabs>
          <w:tab w:val="left" w:pos="567"/>
        </w:tabs>
        <w:spacing w:line="276" w:lineRule="auto"/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− обеспечение деятельности регионального фонда развития промышленности Югры;</w:t>
      </w:r>
    </w:p>
    <w:p w14:paraId="7030CFEF" w14:textId="77777777" w:rsidR="00C376B7" w:rsidRDefault="00DA720F">
      <w:pPr>
        <w:tabs>
          <w:tab w:val="left" w:pos="567"/>
        </w:tabs>
        <w:spacing w:line="276" w:lineRule="auto"/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− осуществление функций центра компетенций в сфере туризма Югры;</w:t>
      </w:r>
    </w:p>
    <w:p w14:paraId="1BA60035" w14:textId="77777777" w:rsidR="00C376B7" w:rsidRDefault="00DA720F">
      <w:pPr>
        <w:tabs>
          <w:tab w:val="left" w:pos="567"/>
        </w:tabs>
        <w:spacing w:line="276" w:lineRule="auto"/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− осуществление функций центра компетенций в сфере сельскохозяйственной кооперации Югры и поддержки фермеров;</w:t>
      </w:r>
    </w:p>
    <w:p w14:paraId="4A62B8CF" w14:textId="77777777" w:rsidR="00C376B7" w:rsidRDefault="00DA720F">
      <w:pPr>
        <w:tabs>
          <w:tab w:val="left" w:pos="567"/>
        </w:tabs>
        <w:spacing w:line="276" w:lineRule="auto"/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− осуществление функций регионального центра компетенций в сфере производительности труда;</w:t>
      </w:r>
    </w:p>
    <w:p w14:paraId="4858C8F2" w14:textId="77777777" w:rsidR="00C376B7" w:rsidRDefault="00DA720F">
      <w:pPr>
        <w:tabs>
          <w:tab w:val="left" w:pos="567"/>
        </w:tabs>
        <w:spacing w:line="276" w:lineRule="auto"/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− инвестиционное продвижение Югры.</w:t>
      </w:r>
    </w:p>
    <w:p w14:paraId="1121CD66" w14:textId="77777777" w:rsidR="00C376B7" w:rsidRDefault="00C376B7">
      <w:pPr>
        <w:ind w:left="-426"/>
        <w:jc w:val="both"/>
        <w:rPr>
          <w:rFonts w:eastAsia="Times New Roman"/>
          <w:sz w:val="28"/>
          <w:szCs w:val="28"/>
        </w:rPr>
      </w:pPr>
    </w:p>
    <w:p w14:paraId="58D18198" w14:textId="33BE1642" w:rsidR="00C376B7" w:rsidRDefault="00DA720F">
      <w:pPr>
        <w:pStyle w:val="a3"/>
        <w:numPr>
          <w:ilvl w:val="0"/>
          <w:numId w:val="12"/>
        </w:numPr>
        <w:ind w:left="-426"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Результаты работы по привлечению инвестиций, работе с инвесторами, сопровождению инвестиционных проектов по принципу «одного окна»</w:t>
      </w:r>
    </w:p>
    <w:p w14:paraId="78657F41" w14:textId="77777777" w:rsidR="00C376B7" w:rsidRDefault="00C376B7">
      <w:pPr>
        <w:pStyle w:val="a3"/>
        <w:ind w:left="450"/>
        <w:jc w:val="both"/>
        <w:rPr>
          <w:rFonts w:eastAsia="Times New Roman"/>
          <w:sz w:val="28"/>
          <w:szCs w:val="28"/>
        </w:rPr>
      </w:pPr>
    </w:p>
    <w:p w14:paraId="68CFD50D" w14:textId="77777777" w:rsidR="00C376B7" w:rsidRDefault="00DA720F">
      <w:pPr>
        <w:pStyle w:val="a3"/>
        <w:numPr>
          <w:ilvl w:val="1"/>
          <w:numId w:val="12"/>
        </w:num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Общий портфель проектов, сопровождаемых Фондом на 31 декабря 2025 года, составил </w:t>
      </w:r>
      <w:r>
        <w:rPr>
          <w:rFonts w:eastAsia="Times New Roman"/>
          <w:sz w:val="28"/>
          <w:szCs w:val="28"/>
          <w:highlight w:val="white"/>
        </w:rPr>
        <w:t>88 проек</w:t>
      </w:r>
      <w:r>
        <w:rPr>
          <w:rFonts w:eastAsia="Times New Roman"/>
          <w:sz w:val="28"/>
          <w:szCs w:val="28"/>
        </w:rPr>
        <w:t>тов объемом инвестиций 74,1 млрд рублей, в том числе:</w:t>
      </w:r>
    </w:p>
    <w:p w14:paraId="082D380E" w14:textId="2B225247" w:rsidR="00C376B7" w:rsidRDefault="00C531AC">
      <w:pPr>
        <w:ind w:left="-426" w:firstLine="708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sz w:val="28"/>
          <w:szCs w:val="28"/>
          <w:highlight w:val="white"/>
        </w:rPr>
        <w:t>26</w:t>
      </w:r>
      <w:r w:rsidR="00DA720F">
        <w:rPr>
          <w:rFonts w:eastAsia="Times New Roman"/>
          <w:sz w:val="28"/>
          <w:szCs w:val="28"/>
        </w:rPr>
        <w:t xml:space="preserve"> проектов сопровождались по принципу «Одного окна»;</w:t>
      </w:r>
    </w:p>
    <w:p w14:paraId="49CC2CE1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36 проектов регионального фонда развития промышленности;</w:t>
      </w:r>
    </w:p>
    <w:p w14:paraId="38E28BA1" w14:textId="4B86235F" w:rsidR="00C376B7" w:rsidRDefault="00DA720F">
      <w:pPr>
        <w:ind w:left="-426" w:firstLine="708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>26 инфраструктурных проектов</w:t>
      </w:r>
      <w:r w:rsidR="00C531AC">
        <w:rPr>
          <w:rFonts w:eastAsia="Times New Roman"/>
          <w:sz w:val="28"/>
          <w:szCs w:val="28"/>
        </w:rPr>
        <w:t>.</w:t>
      </w:r>
    </w:p>
    <w:p w14:paraId="148138EC" w14:textId="77777777" w:rsidR="00C376B7" w:rsidRDefault="00C376B7">
      <w:pPr>
        <w:ind w:left="-426" w:firstLine="708"/>
        <w:jc w:val="both"/>
        <w:rPr>
          <w:rFonts w:eastAsia="Times New Roman"/>
          <w:strike/>
          <w:sz w:val="18"/>
          <w:szCs w:val="18"/>
        </w:rPr>
      </w:pPr>
    </w:p>
    <w:p w14:paraId="3C717A38" w14:textId="5ACE03C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1.2. При содействии и сопровождении Фонда в 2025 году АО «Корпорация развития Дальнего Востока и Арктики» заключило соглашения об осуществлении инвестиционной деятельности в Арктической зоне Российской Федерации на территории автономного округа с 3 резидентами: ООО КФХ Национальная община «Полюс», ООО «АЛТАТУМП», ООО «Арктика». Резидент ООО «Северов» завершил инвестиционную стадию проекта и запустил производство хлебобулочных изделий.</w:t>
      </w:r>
    </w:p>
    <w:p w14:paraId="686A90EE" w14:textId="77777777" w:rsidR="00C376B7" w:rsidRDefault="00C376B7">
      <w:pPr>
        <w:ind w:left="-426" w:firstLine="708"/>
        <w:jc w:val="both"/>
        <w:rPr>
          <w:rFonts w:eastAsia="Times New Roman"/>
          <w:sz w:val="18"/>
          <w:szCs w:val="18"/>
        </w:rPr>
      </w:pPr>
    </w:p>
    <w:p w14:paraId="5B46EB74" w14:textId="7FC6D872" w:rsidR="00C376B7" w:rsidRDefault="00DA720F">
      <w:pPr>
        <w:ind w:left="-426" w:firstLine="708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>1.3. В 2025 году введены в эксплуатацию 4 объекта, созданные в рамках концессий</w:t>
      </w:r>
      <w:r w:rsidR="00856345">
        <w:rPr>
          <w:rFonts w:eastAsia="Times New Roman"/>
          <w:sz w:val="28"/>
          <w:szCs w:val="28"/>
        </w:rPr>
        <w:t xml:space="preserve"> </w:t>
      </w:r>
    </w:p>
    <w:p w14:paraId="4AC397AF" w14:textId="77777777" w:rsidR="00C376B7" w:rsidRDefault="00C376B7">
      <w:pPr>
        <w:ind w:left="-426" w:firstLine="708"/>
        <w:jc w:val="both"/>
        <w:rPr>
          <w:rFonts w:eastAsia="Times New Roman"/>
          <w:strike/>
          <w:sz w:val="18"/>
          <w:szCs w:val="18"/>
        </w:rPr>
      </w:pPr>
    </w:p>
    <w:p w14:paraId="4C9EE68C" w14:textId="77777777" w:rsidR="00C376B7" w:rsidRDefault="00DA720F">
      <w:pPr>
        <w:ind w:left="-426" w:firstLine="708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>1.4. На промышленной площадке в г. Когалыме осуществлялись работы по созданию инженерной инфраструктуры индустриального парка;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заключен договор с ООО «</w:t>
      </w:r>
      <w:proofErr w:type="spellStart"/>
      <w:r>
        <w:rPr>
          <w:rFonts w:eastAsia="Times New Roman"/>
          <w:sz w:val="28"/>
          <w:szCs w:val="28"/>
        </w:rPr>
        <w:t>ТюменьЭнергоПроект</w:t>
      </w:r>
      <w:proofErr w:type="spellEnd"/>
      <w:r>
        <w:rPr>
          <w:rFonts w:eastAsia="Times New Roman"/>
          <w:sz w:val="28"/>
          <w:szCs w:val="28"/>
        </w:rPr>
        <w:t>» на выполнение инженерных изысканий и разработку проектно-сметной документации.</w:t>
      </w:r>
    </w:p>
    <w:p w14:paraId="06FF57C3" w14:textId="1462F14D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 апреля 2025 года заключено соглашение о сопровождении инвестиционного проекта «Комплекс по производству гибких полимерных </w:t>
      </w:r>
      <w:r>
        <w:rPr>
          <w:rFonts w:eastAsia="Times New Roman"/>
          <w:sz w:val="28"/>
          <w:szCs w:val="28"/>
        </w:rPr>
        <w:lastRenderedPageBreak/>
        <w:t xml:space="preserve">армированных труб (ГПАТ)» с ООО «Когалымский завод полимерных труб», реализуемом на данной площадке. </w:t>
      </w:r>
      <w:r>
        <w:rPr>
          <w:rFonts w:eastAsia="Times New Roman"/>
          <w:sz w:val="28"/>
          <w:szCs w:val="28"/>
        </w:rPr>
        <w:tab/>
      </w:r>
    </w:p>
    <w:p w14:paraId="0CD69196" w14:textId="77777777" w:rsidR="00C376B7" w:rsidRDefault="00C376B7">
      <w:pPr>
        <w:ind w:left="-426" w:firstLine="708"/>
        <w:jc w:val="both"/>
        <w:rPr>
          <w:rFonts w:eastAsia="Times New Roman"/>
          <w:sz w:val="18"/>
          <w:szCs w:val="18"/>
        </w:rPr>
      </w:pPr>
    </w:p>
    <w:p w14:paraId="1E9BCE62" w14:textId="77777777" w:rsidR="00C376B7" w:rsidRDefault="00C376B7">
      <w:pPr>
        <w:ind w:left="-426" w:firstLine="708"/>
        <w:jc w:val="both"/>
        <w:rPr>
          <w:rFonts w:eastAsia="Times New Roman"/>
          <w:sz w:val="18"/>
          <w:szCs w:val="18"/>
        </w:rPr>
      </w:pPr>
    </w:p>
    <w:p w14:paraId="5A49437E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1.5. В отчетном периоде разработаны финансово-экономические модели и рассчитаны показатели для 11 проектов комплексного развития территорий и автодорожного концессионного проекта. Осуществлена консультационная поддержка инвесторов по финансовым моделям 9 промышленных проектов.</w:t>
      </w:r>
    </w:p>
    <w:p w14:paraId="47AF13F6" w14:textId="77777777" w:rsidR="00C376B7" w:rsidRDefault="00C376B7">
      <w:pPr>
        <w:ind w:left="-426" w:firstLine="708"/>
        <w:jc w:val="both"/>
        <w:rPr>
          <w:rFonts w:eastAsia="Times New Roman"/>
          <w:sz w:val="18"/>
          <w:szCs w:val="18"/>
        </w:rPr>
      </w:pPr>
    </w:p>
    <w:p w14:paraId="229DA062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1.6. В течение 2025 года продолжена работа по сопровождению информационного ресурса «Инвестиционная карта автономного округа», в том числе актуализированы сведения об инвестиционных площадках, инфраструктурном обеспечении, преференциальных режимах и мерах поддержки инвесторов, разработаны и размещены на Инвестиционной карте Российской Федерации 11 инвестиционных предложений автономного округа.</w:t>
      </w:r>
    </w:p>
    <w:p w14:paraId="141E852E" w14:textId="77777777" w:rsidR="00C376B7" w:rsidRDefault="00C376B7">
      <w:pPr>
        <w:ind w:left="-426"/>
        <w:jc w:val="both"/>
        <w:rPr>
          <w:rFonts w:eastAsia="Times New Roman"/>
          <w:sz w:val="28"/>
          <w:szCs w:val="28"/>
        </w:rPr>
      </w:pPr>
    </w:p>
    <w:p w14:paraId="71E7E450" w14:textId="77777777" w:rsidR="00C376B7" w:rsidRDefault="00DA720F">
      <w:pPr>
        <w:pStyle w:val="a3"/>
        <w:numPr>
          <w:ilvl w:val="0"/>
          <w:numId w:val="12"/>
        </w:numPr>
        <w:ind w:left="-426"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Результаты работы по поддержке развития промышленности</w:t>
      </w:r>
    </w:p>
    <w:p w14:paraId="682ED083" w14:textId="77777777" w:rsidR="00C376B7" w:rsidRDefault="00C376B7">
      <w:pPr>
        <w:ind w:left="-426"/>
        <w:jc w:val="both"/>
        <w:rPr>
          <w:rFonts w:eastAsia="Times New Roman"/>
          <w:sz w:val="28"/>
          <w:szCs w:val="28"/>
        </w:rPr>
      </w:pPr>
    </w:p>
    <w:p w14:paraId="670230BE" w14:textId="77777777" w:rsidR="00C376B7" w:rsidRDefault="00DA720F">
      <w:pPr>
        <w:pStyle w:val="a3"/>
        <w:numPr>
          <w:ilvl w:val="1"/>
          <w:numId w:val="12"/>
        </w:num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В рамках заключенных договоров целевого займа в 2025 году предоставлены займы и транши на общую сумму 816,8 млн рублей.</w:t>
      </w:r>
    </w:p>
    <w:p w14:paraId="5A14CC3A" w14:textId="77777777" w:rsidR="00C376B7" w:rsidRDefault="00C376B7">
      <w:pPr>
        <w:pStyle w:val="a3"/>
        <w:ind w:left="-426"/>
        <w:jc w:val="both"/>
        <w:rPr>
          <w:rFonts w:eastAsia="Times New Roman"/>
          <w:sz w:val="18"/>
          <w:szCs w:val="18"/>
        </w:rPr>
      </w:pPr>
    </w:p>
    <w:p w14:paraId="6AEBB9CA" w14:textId="77777777" w:rsidR="00C376B7" w:rsidRDefault="00DA720F">
      <w:pPr>
        <w:pStyle w:val="a3"/>
        <w:numPr>
          <w:ilvl w:val="1"/>
          <w:numId w:val="12"/>
        </w:num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Завершили инвестиционную стадию и запустили (расширили) производство 4 промышленных проекта, реализованных с предоставлением займов:</w:t>
      </w:r>
    </w:p>
    <w:p w14:paraId="704369B9" w14:textId="77777777" w:rsidR="00C376B7" w:rsidRDefault="00DA720F">
      <w:pPr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линия производства фасадных кассет и линеарных панелей;</w:t>
      </w:r>
    </w:p>
    <w:p w14:paraId="653BDB69" w14:textId="77777777" w:rsidR="00C376B7" w:rsidRDefault="00DA720F">
      <w:pPr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модернизация лесоперерабатывающего комплекса с внедрением новых технологий по переработке отходов лесопиления;</w:t>
      </w:r>
    </w:p>
    <w:p w14:paraId="445D3910" w14:textId="77777777" w:rsidR="00C376B7" w:rsidRDefault="00DA720F">
      <w:pPr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производство древесной муки из отходов лесопиления;</w:t>
      </w:r>
    </w:p>
    <w:p w14:paraId="4763068F" w14:textId="77777777" w:rsidR="00C376B7" w:rsidRDefault="00DA720F">
      <w:pPr>
        <w:ind w:left="-426" w:firstLine="709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>модернизация цеха по переработке молока.</w:t>
      </w:r>
    </w:p>
    <w:p w14:paraId="3CFF7D6E" w14:textId="77777777" w:rsidR="00C376B7" w:rsidRDefault="00C376B7">
      <w:pPr>
        <w:jc w:val="both"/>
        <w:rPr>
          <w:rFonts w:eastAsia="Times New Roman"/>
          <w:i/>
          <w:iCs/>
          <w:sz w:val="28"/>
          <w:szCs w:val="28"/>
        </w:rPr>
      </w:pPr>
    </w:p>
    <w:p w14:paraId="307BCADD" w14:textId="4C8CEE02" w:rsidR="00C376B7" w:rsidRDefault="00DA720F">
      <w:pPr>
        <w:ind w:left="-426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 Результаты работы по направлению развития сферы туризма</w:t>
      </w:r>
    </w:p>
    <w:p w14:paraId="18225B53" w14:textId="77777777" w:rsidR="00C376B7" w:rsidRDefault="00C376B7">
      <w:pPr>
        <w:ind w:left="-426"/>
        <w:jc w:val="both"/>
        <w:rPr>
          <w:rFonts w:eastAsia="Times New Roman"/>
          <w:sz w:val="28"/>
          <w:szCs w:val="28"/>
        </w:rPr>
      </w:pPr>
    </w:p>
    <w:p w14:paraId="79164D39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3.1. В целях популяризации туристских возможностей региона принято участие в 13 мероприятиях международного, российского и регионального уровней. Итоги участия в указанных мероприятиях:</w:t>
      </w:r>
    </w:p>
    <w:p w14:paraId="679D8E3F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Югра заняла 2 строчку рейтинга из 44 субъектов Российской Федерации по итогам 100 пресс-туров;</w:t>
      </w:r>
    </w:p>
    <w:p w14:paraId="2267018C" w14:textId="0B6EE924" w:rsidR="00C376B7" w:rsidRDefault="00DA720F">
      <w:pPr>
        <w:ind w:left="-426" w:firstLine="708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6272B3">
        <w:rPr>
          <w:rFonts w:eastAsia="Times New Roman"/>
          <w:sz w:val="28"/>
          <w:szCs w:val="28"/>
        </w:rPr>
        <w:t xml:space="preserve">по результатам конкурса «Открытая промышленность» </w:t>
      </w:r>
      <w:r>
        <w:rPr>
          <w:rFonts w:eastAsia="Times New Roman"/>
          <w:sz w:val="28"/>
          <w:szCs w:val="28"/>
        </w:rPr>
        <w:t>автономный округ отмечен наградами в номинациях «Лучший проект по продвижению кадрового и технологического потенциала», «</w:t>
      </w:r>
      <w:proofErr w:type="spellStart"/>
      <w:r>
        <w:rPr>
          <w:rFonts w:eastAsia="Times New Roman"/>
          <w:sz w:val="28"/>
          <w:szCs w:val="28"/>
        </w:rPr>
        <w:t>Промбренд</w:t>
      </w:r>
      <w:proofErr w:type="spellEnd"/>
      <w:r>
        <w:rPr>
          <w:rFonts w:eastAsia="Times New Roman"/>
          <w:sz w:val="28"/>
          <w:szCs w:val="28"/>
        </w:rPr>
        <w:t>» и «За личный вклад»;</w:t>
      </w:r>
    </w:p>
    <w:p w14:paraId="64B31898" w14:textId="1A6576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победа в 4 номинациях в Международном конкурсе «PRO-туризм»;</w:t>
      </w:r>
    </w:p>
    <w:p w14:paraId="45C37D06" w14:textId="1428937B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тур для граждан КНР «По следам красного дракона: пять стихий Югры» вошел в число 10 лучших регионов России</w:t>
      </w:r>
      <w:r w:rsidR="002F2B92">
        <w:rPr>
          <w:rFonts w:eastAsia="Times New Roman"/>
          <w:sz w:val="28"/>
          <w:szCs w:val="28"/>
        </w:rPr>
        <w:t xml:space="preserve"> по результатам конкурса «Открой твою Россию»</w:t>
      </w:r>
      <w:r w:rsidR="003A7545">
        <w:rPr>
          <w:rFonts w:eastAsia="Times New Roman"/>
          <w:sz w:val="28"/>
          <w:szCs w:val="28"/>
        </w:rPr>
        <w:t>;</w:t>
      </w:r>
    </w:p>
    <w:p w14:paraId="0AB3D15A" w14:textId="7B1830EE" w:rsidR="003A7545" w:rsidRPr="00F41390" w:rsidRDefault="00DA720F">
      <w:pPr>
        <w:ind w:left="-426" w:firstLine="708"/>
        <w:jc w:val="both"/>
        <w:rPr>
          <w:rFonts w:eastAsia="Times New Roman"/>
          <w:i/>
          <w:iCs/>
          <w:sz w:val="28"/>
          <w:szCs w:val="28"/>
        </w:rPr>
      </w:pPr>
      <w:r w:rsidRPr="00F41390">
        <w:rPr>
          <w:rFonts w:eastAsia="Times New Roman"/>
          <w:sz w:val="28"/>
          <w:szCs w:val="28"/>
        </w:rPr>
        <w:t xml:space="preserve">- </w:t>
      </w:r>
      <w:r w:rsidR="00790DC8" w:rsidRPr="00F41390">
        <w:rPr>
          <w:rFonts w:eastAsia="Times New Roman"/>
          <w:sz w:val="28"/>
          <w:szCs w:val="28"/>
        </w:rPr>
        <w:t>туристическому маршруту «Месторождение Югра»,</w:t>
      </w:r>
      <w:r w:rsidR="00790DC8" w:rsidRPr="00F41390">
        <w:t xml:space="preserve"> </w:t>
      </w:r>
      <w:r w:rsidR="00790DC8" w:rsidRPr="00F41390">
        <w:rPr>
          <w:rFonts w:eastAsia="Times New Roman"/>
          <w:sz w:val="28"/>
          <w:szCs w:val="28"/>
        </w:rPr>
        <w:t xml:space="preserve">который создавался в рамках образовательной программы Агентства стратегических инициатив РФ и </w:t>
      </w:r>
      <w:r w:rsidR="00790DC8" w:rsidRPr="00F41390">
        <w:rPr>
          <w:rFonts w:eastAsia="Times New Roman"/>
          <w:sz w:val="28"/>
          <w:szCs w:val="28"/>
        </w:rPr>
        <w:lastRenderedPageBreak/>
        <w:t xml:space="preserve">Минэкономразвития </w:t>
      </w:r>
      <w:proofErr w:type="gramStart"/>
      <w:r w:rsidR="00790DC8" w:rsidRPr="00F41390">
        <w:rPr>
          <w:rFonts w:eastAsia="Times New Roman"/>
          <w:sz w:val="28"/>
          <w:szCs w:val="28"/>
        </w:rPr>
        <w:t>РФ  «</w:t>
      </w:r>
      <w:proofErr w:type="gramEnd"/>
      <w:r w:rsidR="00790DC8" w:rsidRPr="00F41390">
        <w:rPr>
          <w:rFonts w:eastAsia="Times New Roman"/>
          <w:sz w:val="28"/>
          <w:szCs w:val="28"/>
        </w:rPr>
        <w:t xml:space="preserve">Открытая промышленность», </w:t>
      </w:r>
      <w:r w:rsidR="00632C05" w:rsidRPr="00F41390">
        <w:rPr>
          <w:rFonts w:eastAsia="Times New Roman"/>
          <w:sz w:val="28"/>
          <w:szCs w:val="28"/>
        </w:rPr>
        <w:t>присвоен статус Первого национального туристического маршрута</w:t>
      </w:r>
      <w:r w:rsidR="00027AEF" w:rsidRPr="00F41390">
        <w:rPr>
          <w:rFonts w:eastAsia="Times New Roman"/>
          <w:sz w:val="28"/>
          <w:szCs w:val="28"/>
        </w:rPr>
        <w:t>.</w:t>
      </w:r>
    </w:p>
    <w:p w14:paraId="77A0280B" w14:textId="77777777" w:rsidR="00C376B7" w:rsidRPr="00F41390" w:rsidRDefault="00C376B7">
      <w:pPr>
        <w:ind w:left="-426" w:firstLine="708"/>
        <w:jc w:val="both"/>
        <w:rPr>
          <w:rFonts w:eastAsia="Times New Roman"/>
          <w:i/>
          <w:iCs/>
          <w:sz w:val="18"/>
          <w:szCs w:val="18"/>
        </w:rPr>
      </w:pPr>
    </w:p>
    <w:p w14:paraId="562D182B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3.2. В целях продвижения туристического потенциала автономного округа для увеличения туристического потока в Югру осуществлялось:</w:t>
      </w:r>
    </w:p>
    <w:p w14:paraId="1B05124C" w14:textId="77777777" w:rsidR="00C376B7" w:rsidRDefault="00DA720F">
      <w:pPr>
        <w:tabs>
          <w:tab w:val="left" w:pos="993"/>
        </w:tabs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продвижение Платформы «</w:t>
      </w:r>
      <w:proofErr w:type="spellStart"/>
      <w:r>
        <w:rPr>
          <w:rFonts w:eastAsia="Times New Roman"/>
          <w:sz w:val="28"/>
          <w:szCs w:val="28"/>
        </w:rPr>
        <w:t>ВизитЮгра</w:t>
      </w:r>
      <w:proofErr w:type="spellEnd"/>
      <w:r>
        <w:rPr>
          <w:rFonts w:eastAsia="Times New Roman"/>
          <w:sz w:val="28"/>
          <w:szCs w:val="28"/>
        </w:rPr>
        <w:t>» в сети Интернет с использованием рекламной системы Яндекса (результат: прирост просмотров в 2025 году в сравнении с 2024 годом составил 47,2%: с 127,2 тыс. до 205,8 тыс. человек);</w:t>
      </w:r>
    </w:p>
    <w:p w14:paraId="2C9BBDEF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публикация информационных материалов в официальных туристских аккаунтах «</w:t>
      </w:r>
      <w:proofErr w:type="spellStart"/>
      <w:r>
        <w:rPr>
          <w:rFonts w:eastAsia="Times New Roman"/>
          <w:sz w:val="28"/>
          <w:szCs w:val="28"/>
        </w:rPr>
        <w:t>ВизитЮгра</w:t>
      </w:r>
      <w:proofErr w:type="spellEnd"/>
      <w:r>
        <w:rPr>
          <w:rFonts w:eastAsia="Times New Roman"/>
          <w:sz w:val="28"/>
          <w:szCs w:val="28"/>
        </w:rPr>
        <w:t>» (ВКонтакте, Телеграм, Дзен), (результат: прирост публикаций в 2025 году в сравнении с 2024 годом составил 24 %: с 864 до 1100 публикаций).</w:t>
      </w:r>
    </w:p>
    <w:p w14:paraId="6DD248DF" w14:textId="77777777" w:rsidR="00C376B7" w:rsidRDefault="00C376B7">
      <w:pPr>
        <w:ind w:left="-426" w:firstLine="708"/>
        <w:jc w:val="both"/>
        <w:rPr>
          <w:rFonts w:eastAsia="Times New Roman"/>
          <w:color w:val="7030A0"/>
          <w:sz w:val="28"/>
          <w:szCs w:val="28"/>
        </w:rPr>
      </w:pPr>
    </w:p>
    <w:p w14:paraId="3742850E" w14:textId="77777777" w:rsidR="00C376B7" w:rsidRDefault="00DA720F">
      <w:pPr>
        <w:pStyle w:val="a3"/>
        <w:numPr>
          <w:ilvl w:val="0"/>
          <w:numId w:val="13"/>
        </w:numPr>
        <w:tabs>
          <w:tab w:val="left" w:pos="0"/>
        </w:tabs>
        <w:ind w:left="-426"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Результаты работы по направлению развития сельскохозяйственной кооперации и поддержки фермеров</w:t>
      </w:r>
    </w:p>
    <w:p w14:paraId="0DF72F40" w14:textId="77777777" w:rsidR="00C376B7" w:rsidRDefault="00C376B7">
      <w:pPr>
        <w:tabs>
          <w:tab w:val="left" w:pos="1276"/>
        </w:tabs>
        <w:ind w:left="-426" w:firstLine="708"/>
        <w:jc w:val="both"/>
        <w:rPr>
          <w:rFonts w:eastAsia="Times New Roman"/>
          <w:sz w:val="22"/>
          <w:szCs w:val="22"/>
        </w:rPr>
      </w:pPr>
    </w:p>
    <w:p w14:paraId="5EDC5076" w14:textId="77777777" w:rsidR="00C376B7" w:rsidRDefault="00DA720F">
      <w:pPr>
        <w:tabs>
          <w:tab w:val="left" w:pos="1276"/>
        </w:tabs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4.1. В целях ознакомления с продукцией югорских товаропроизводителей принято участие в 11 мероприятиях международного и федерального уровней. Итоги участия в указанных мероприятиях:</w:t>
      </w:r>
    </w:p>
    <w:p w14:paraId="4507B122" w14:textId="77777777" w:rsidR="00C376B7" w:rsidRDefault="00DA720F">
      <w:pPr>
        <w:ind w:left="-426" w:firstLine="708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шесть компаний округа завоевали 9 медалей конкурса «Лучший продукт 2025», в том числе 7 золотых, 1 серебряную и 1 бронзовую </w:t>
      </w:r>
      <w:r>
        <w:rPr>
          <w:rFonts w:eastAsia="Times New Roman"/>
          <w:i/>
          <w:iCs/>
          <w:sz w:val="28"/>
          <w:szCs w:val="28"/>
        </w:rPr>
        <w:t>(«ПРОДЭКСПО-2025»);</w:t>
      </w:r>
    </w:p>
    <w:p w14:paraId="53233F44" w14:textId="77777777" w:rsidR="00C376B7" w:rsidRDefault="00DA720F">
      <w:pPr>
        <w:ind w:left="-426" w:firstLine="708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>- автономный округ одержал победу в IV Национальном органическом конкурсе в номинациях «Регион-лидер по поддержке органического производства» и «Новый органический продукт для переработчиков»;</w:t>
      </w:r>
    </w:p>
    <w:p w14:paraId="0A3EEC59" w14:textId="610C08DC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четыре югорские компании отгрузили в Китай 9,6 тонны продукции на сумму более 3,6 млн руб., в том числе органические товары и продукцию «Халяль» (представлены на онлайн-платформах JD.com, </w:t>
      </w:r>
      <w:proofErr w:type="spellStart"/>
      <w:r>
        <w:rPr>
          <w:rFonts w:eastAsia="Times New Roman"/>
          <w:sz w:val="28"/>
          <w:szCs w:val="28"/>
        </w:rPr>
        <w:t>Tmall</w:t>
      </w:r>
      <w:proofErr w:type="spellEnd"/>
      <w:r>
        <w:rPr>
          <w:rFonts w:eastAsia="Times New Roman"/>
          <w:sz w:val="28"/>
          <w:szCs w:val="28"/>
        </w:rPr>
        <w:t xml:space="preserve"> и др.)</w:t>
      </w:r>
      <w:r w:rsidR="0060039D">
        <w:rPr>
          <w:rFonts w:eastAsia="Times New Roman"/>
          <w:sz w:val="28"/>
          <w:szCs w:val="28"/>
        </w:rPr>
        <w:t>;</w:t>
      </w:r>
    </w:p>
    <w:p w14:paraId="5593AF79" w14:textId="50F02E66" w:rsidR="0060039D" w:rsidRPr="00F41390" w:rsidRDefault="0060039D" w:rsidP="0060039D">
      <w:pPr>
        <w:ind w:left="-426" w:firstLine="708"/>
        <w:jc w:val="both"/>
        <w:rPr>
          <w:rFonts w:eastAsia="Times New Roman"/>
          <w:sz w:val="28"/>
          <w:szCs w:val="28"/>
        </w:rPr>
      </w:pPr>
      <w:r w:rsidRPr="00F41390">
        <w:rPr>
          <w:rFonts w:eastAsia="Times New Roman"/>
          <w:i/>
          <w:iCs/>
          <w:sz w:val="28"/>
          <w:szCs w:val="28"/>
        </w:rPr>
        <w:t>-</w:t>
      </w:r>
      <w:r w:rsidRPr="00F41390">
        <w:rPr>
          <w:rFonts w:eastAsia="Times New Roman"/>
          <w:sz w:val="28"/>
          <w:szCs w:val="28"/>
        </w:rPr>
        <w:t xml:space="preserve"> в конкурсе «Лучший продукт – 2025», финал которого проводился на XIII Межрегиональной агропромышленной выставке УрФО, предприятия округа представили экспертам мясную, рыбную и молочную продукцию, а также изделия из дикоросов. Высокий профессиональный уровень подтвердили 41 производитель региона, завоевав 34 золотых и семь серебряных медалей.</w:t>
      </w:r>
    </w:p>
    <w:p w14:paraId="2AFDC13D" w14:textId="77777777" w:rsidR="00C376B7" w:rsidRDefault="00C376B7">
      <w:pPr>
        <w:ind w:left="-426" w:firstLine="708"/>
        <w:jc w:val="both"/>
        <w:rPr>
          <w:rFonts w:eastAsia="Times New Roman"/>
          <w:sz w:val="18"/>
          <w:szCs w:val="18"/>
        </w:rPr>
      </w:pPr>
    </w:p>
    <w:p w14:paraId="63EB0FC2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4.2. В целях содействия развитию местных товаропроизводителей проведено 4 специализированных региональные выставки – ярмарки «Товары Земли Югорской». В указанных мероприятиях приняло участие в среднем 193 югорских товаропроизводителя, по итогам которых:</w:t>
      </w:r>
    </w:p>
    <w:p w14:paraId="4BC87412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количество реализованной продукции составило 68,5 тонн продуктов и 8795 изделий креативной индустрии;</w:t>
      </w:r>
    </w:p>
    <w:p w14:paraId="6419B446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выручка от реализованной на мероприятиях продукции составила 55,4 млн. руб.</w:t>
      </w:r>
    </w:p>
    <w:p w14:paraId="4925C42F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Мероприятия посетило более 83 тысяч человек.</w:t>
      </w:r>
    </w:p>
    <w:p w14:paraId="48E42859" w14:textId="77777777" w:rsidR="00C376B7" w:rsidRDefault="00C376B7">
      <w:pPr>
        <w:ind w:left="-426" w:firstLine="708"/>
        <w:jc w:val="both"/>
        <w:rPr>
          <w:rFonts w:eastAsia="Times New Roman"/>
          <w:sz w:val="18"/>
          <w:szCs w:val="18"/>
          <w:highlight w:val="cyan"/>
        </w:rPr>
      </w:pPr>
    </w:p>
    <w:p w14:paraId="73ECC009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4.3. В целях оказания содействия в сертификации продукции в 2025 году заключены 3 соглашения об оказании услуг по сертификации продукции на </w:t>
      </w:r>
      <w:r>
        <w:rPr>
          <w:rFonts w:eastAsia="Times New Roman"/>
          <w:sz w:val="28"/>
          <w:szCs w:val="28"/>
        </w:rPr>
        <w:lastRenderedPageBreak/>
        <w:t>соответствие требованиям «Халяль» и 5 соглашений на органическую сертификацию.</w:t>
      </w:r>
    </w:p>
    <w:p w14:paraId="5C901413" w14:textId="77777777" w:rsidR="00C376B7" w:rsidRDefault="00C376B7">
      <w:pPr>
        <w:ind w:left="-426" w:firstLine="708"/>
        <w:jc w:val="both"/>
        <w:rPr>
          <w:rFonts w:eastAsia="Times New Roman"/>
          <w:sz w:val="28"/>
          <w:szCs w:val="28"/>
        </w:rPr>
      </w:pPr>
    </w:p>
    <w:p w14:paraId="1D050CDA" w14:textId="77777777" w:rsidR="00C376B7" w:rsidRDefault="00DA720F">
      <w:pPr>
        <w:pStyle w:val="a3"/>
        <w:numPr>
          <w:ilvl w:val="0"/>
          <w:numId w:val="13"/>
        </w:numPr>
        <w:ind w:left="-426"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Результаты работы по направлению повышение </w:t>
      </w:r>
    </w:p>
    <w:p w14:paraId="65CAB905" w14:textId="77777777" w:rsidR="00C376B7" w:rsidRDefault="00DA720F">
      <w:pPr>
        <w:pStyle w:val="a3"/>
        <w:ind w:left="-426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производительности труда</w:t>
      </w:r>
    </w:p>
    <w:p w14:paraId="2D28ED01" w14:textId="77777777" w:rsidR="00C376B7" w:rsidRDefault="00C376B7">
      <w:pPr>
        <w:ind w:left="-426"/>
        <w:jc w:val="both"/>
        <w:rPr>
          <w:rFonts w:eastAsia="Times New Roman"/>
          <w:sz w:val="28"/>
          <w:szCs w:val="28"/>
          <w:highlight w:val="cyan"/>
        </w:rPr>
      </w:pPr>
    </w:p>
    <w:p w14:paraId="16190054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5.1. С 2025 года Фонд участвует в реализации федерального проекта «Производительность труда». Для достижения его целей в 2025 году проведена следующая работа:</w:t>
      </w:r>
    </w:p>
    <w:p w14:paraId="582E5C7F" w14:textId="77777777" w:rsidR="00C376B7" w:rsidRDefault="00DA720F">
      <w:pPr>
        <w:tabs>
          <w:tab w:val="left" w:pos="1134"/>
        </w:tabs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 участию привлечены 11 предприятий автономного округа, с ними заключены соглашения о сотрудничестве;</w:t>
      </w:r>
    </w:p>
    <w:p w14:paraId="059F6701" w14:textId="77777777" w:rsidR="00C376B7" w:rsidRDefault="00DA720F">
      <w:pPr>
        <w:tabs>
          <w:tab w:val="left" w:pos="1134"/>
        </w:tabs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обучено инструментам повышения производительности труда 118 сотрудников;</w:t>
      </w:r>
    </w:p>
    <w:p w14:paraId="4F3F564C" w14:textId="77777777" w:rsidR="00C376B7" w:rsidRDefault="00DA720F">
      <w:pPr>
        <w:tabs>
          <w:tab w:val="left" w:pos="1134"/>
        </w:tabs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подготовлено 16 инструкторов по бережливому производству;</w:t>
      </w:r>
    </w:p>
    <w:p w14:paraId="4BDE7FA5" w14:textId="77777777" w:rsidR="00C376B7" w:rsidRDefault="00DA720F">
      <w:pPr>
        <w:tabs>
          <w:tab w:val="left" w:pos="1134"/>
        </w:tabs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практическое обучение на Фабрике процессов прошли 83 сотрудника.</w:t>
      </w:r>
    </w:p>
    <w:p w14:paraId="31D3B535" w14:textId="77777777" w:rsidR="00C376B7" w:rsidRDefault="00C376B7">
      <w:pPr>
        <w:ind w:left="-426"/>
        <w:jc w:val="both"/>
        <w:rPr>
          <w:rFonts w:eastAsia="Times New Roman"/>
          <w:sz w:val="18"/>
          <w:szCs w:val="18"/>
          <w:highlight w:val="cyan"/>
        </w:rPr>
      </w:pPr>
    </w:p>
    <w:p w14:paraId="21DB8B0C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5.2. Всего за 2020–2025 годы участниками проектов стали 70 предприятий. На данных предприятиях в среднем на 31% сократилось время протекания процессов, на 57% увеличилась выработка, на 41% снизилось незавершенное производство.</w:t>
      </w:r>
    </w:p>
    <w:p w14:paraId="7E720833" w14:textId="77777777" w:rsidR="00C376B7" w:rsidRDefault="00DA720F">
      <w:pPr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Ежегодно достигается показатель доли предприятий с 5%-</w:t>
      </w:r>
      <w:proofErr w:type="spellStart"/>
      <w:r>
        <w:rPr>
          <w:rFonts w:eastAsia="Times New Roman"/>
          <w:sz w:val="28"/>
          <w:szCs w:val="28"/>
        </w:rPr>
        <w:t>ным</w:t>
      </w:r>
      <w:proofErr w:type="spellEnd"/>
      <w:r>
        <w:rPr>
          <w:rFonts w:eastAsia="Times New Roman"/>
          <w:sz w:val="28"/>
          <w:szCs w:val="28"/>
        </w:rPr>
        <w:t xml:space="preserve"> приростом производительности труда. По данным Минэкономразвития России за 2024 год, этот показатель в Югре составил 65,22% (при целевом значении не ниже 50%).</w:t>
      </w:r>
    </w:p>
    <w:p w14:paraId="77B1793F" w14:textId="77777777" w:rsidR="00C376B7" w:rsidRDefault="00C376B7">
      <w:pPr>
        <w:ind w:left="-426"/>
        <w:jc w:val="both"/>
        <w:rPr>
          <w:rFonts w:eastAsia="Times New Roman"/>
          <w:sz w:val="18"/>
          <w:szCs w:val="18"/>
        </w:rPr>
      </w:pPr>
    </w:p>
    <w:p w14:paraId="6E85554D" w14:textId="77777777" w:rsidR="00C376B7" w:rsidRDefault="00DA720F">
      <w:pPr>
        <w:tabs>
          <w:tab w:val="left" w:pos="709"/>
        </w:tabs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5.3. В рамках регионального проекта «Развитие экспортно-ориентированных производств в Югре» («Бережливое производство») в 2025 году завершена реализация мероприятий на трех предприятиях со следующими результатами:</w:t>
      </w:r>
    </w:p>
    <w:p w14:paraId="0C266F13" w14:textId="77777777" w:rsidR="00C376B7" w:rsidRDefault="00DA720F">
      <w:pPr>
        <w:tabs>
          <w:tab w:val="left" w:pos="567"/>
          <w:tab w:val="left" w:pos="1134"/>
        </w:tabs>
        <w:ind w:left="-426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ООО «Климатическая компания «ОЗОН»: сокращение времени процесса на 47%, повышение выработки на 87%;</w:t>
      </w:r>
    </w:p>
    <w:p w14:paraId="397FE85F" w14:textId="77777777" w:rsidR="00C376B7" w:rsidRDefault="00DA720F">
      <w:pPr>
        <w:tabs>
          <w:tab w:val="left" w:pos="567"/>
          <w:tab w:val="left" w:pos="1134"/>
        </w:tabs>
        <w:ind w:left="-426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ООО «Геолого-технологическая компания»: сокращение времени процесса на 20%, повышение выработки на 16%;</w:t>
      </w:r>
    </w:p>
    <w:p w14:paraId="7B024E63" w14:textId="77777777" w:rsidR="00C376B7" w:rsidRDefault="00DA720F">
      <w:pPr>
        <w:tabs>
          <w:tab w:val="left" w:pos="567"/>
          <w:tab w:val="left" w:pos="1134"/>
        </w:tabs>
        <w:ind w:left="-426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ООО «Лесопромышленный Комбинат «САМЗА»: сокращение времени процесса на 8,2%, повышение выработки на 30%.</w:t>
      </w:r>
    </w:p>
    <w:p w14:paraId="22862FEA" w14:textId="77777777" w:rsidR="00C376B7" w:rsidRDefault="00C376B7">
      <w:pPr>
        <w:pStyle w:val="a3"/>
        <w:tabs>
          <w:tab w:val="left" w:pos="1134"/>
        </w:tabs>
        <w:ind w:left="-426"/>
        <w:jc w:val="both"/>
        <w:rPr>
          <w:rFonts w:eastAsia="Times New Roman"/>
          <w:sz w:val="28"/>
          <w:szCs w:val="28"/>
          <w:highlight w:val="cyan"/>
        </w:rPr>
      </w:pPr>
    </w:p>
    <w:p w14:paraId="10E8F8E8" w14:textId="0E165707" w:rsidR="00C376B7" w:rsidRDefault="00DA720F">
      <w:pPr>
        <w:ind w:left="-426" w:firstLine="708"/>
        <w:jc w:val="center"/>
        <w:rPr>
          <w:rFonts w:eastAsia="Times New Roman"/>
          <w:strike/>
          <w:sz w:val="28"/>
          <w:szCs w:val="28"/>
        </w:rPr>
      </w:pPr>
      <w:r>
        <w:rPr>
          <w:rFonts w:eastAsia="Times New Roman"/>
          <w:sz w:val="28"/>
          <w:szCs w:val="28"/>
        </w:rPr>
        <w:t>6. Результаты работы по инвестиционному продвижению автономного округа</w:t>
      </w:r>
    </w:p>
    <w:p w14:paraId="54A1880A" w14:textId="77777777" w:rsidR="00C376B7" w:rsidRDefault="00C376B7">
      <w:pPr>
        <w:ind w:left="-426" w:firstLine="708"/>
        <w:jc w:val="both"/>
        <w:rPr>
          <w:rFonts w:eastAsia="Times New Roman"/>
          <w:sz w:val="28"/>
          <w:szCs w:val="28"/>
        </w:rPr>
      </w:pPr>
    </w:p>
    <w:p w14:paraId="53ECC478" w14:textId="77777777" w:rsidR="00C376B7" w:rsidRDefault="00DA720F">
      <w:pPr>
        <w:tabs>
          <w:tab w:val="left" w:pos="993"/>
        </w:tabs>
        <w:ind w:left="-42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6.1. В соответствии с задачами Правительства автономного округа обеспечено представление инвестиционного и промышленного потенциала Югры на ключевых российских и международных площадках:</w:t>
      </w:r>
    </w:p>
    <w:p w14:paraId="3D3A0B75" w14:textId="77777777" w:rsidR="00C376B7" w:rsidRDefault="00DA720F">
      <w:pPr>
        <w:pStyle w:val="a3"/>
        <w:tabs>
          <w:tab w:val="left" w:pos="709"/>
        </w:tabs>
        <w:ind w:left="-426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обеспечено участие делегации Югры в 7 международных и федеральных крупных деловых промышленных мероприятиях;</w:t>
      </w:r>
    </w:p>
    <w:p w14:paraId="76D65580" w14:textId="77777777" w:rsidR="00C376B7" w:rsidRDefault="00DA720F">
      <w:pPr>
        <w:pStyle w:val="a3"/>
        <w:tabs>
          <w:tab w:val="left" w:pos="709"/>
        </w:tabs>
        <w:ind w:left="-426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предоставлена возможность предприятиям региона представить свою продукцию.</w:t>
      </w:r>
    </w:p>
    <w:p w14:paraId="179B1314" w14:textId="77777777" w:rsidR="00C376B7" w:rsidRDefault="00C376B7">
      <w:pPr>
        <w:tabs>
          <w:tab w:val="left" w:pos="993"/>
        </w:tabs>
        <w:ind w:left="-426"/>
        <w:jc w:val="both"/>
        <w:rPr>
          <w:rFonts w:eastAsia="Times New Roman"/>
          <w:sz w:val="18"/>
          <w:szCs w:val="18"/>
        </w:rPr>
      </w:pPr>
    </w:p>
    <w:p w14:paraId="3337983E" w14:textId="77777777" w:rsidR="00C376B7" w:rsidRDefault="00DA720F">
      <w:pPr>
        <w:pStyle w:val="a3"/>
        <w:numPr>
          <w:ilvl w:val="1"/>
          <w:numId w:val="14"/>
        </w:numPr>
        <w:tabs>
          <w:tab w:val="left" w:pos="993"/>
        </w:tabs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Осуществлялось ведение информационных ресурсов Югры, на которых представлен экономический и инвестиционный потенциал региона.</w:t>
      </w:r>
    </w:p>
    <w:p w14:paraId="76D86247" w14:textId="77777777" w:rsidR="00C376B7" w:rsidRDefault="00C376B7">
      <w:pPr>
        <w:pStyle w:val="a3"/>
        <w:tabs>
          <w:tab w:val="left" w:pos="993"/>
        </w:tabs>
        <w:ind w:left="-426"/>
        <w:jc w:val="both"/>
        <w:rPr>
          <w:rFonts w:eastAsia="Times New Roman"/>
          <w:sz w:val="18"/>
          <w:szCs w:val="18"/>
        </w:rPr>
      </w:pPr>
    </w:p>
    <w:p w14:paraId="663F433D" w14:textId="77777777" w:rsidR="00C376B7" w:rsidRDefault="00DA720F">
      <w:pPr>
        <w:pStyle w:val="a3"/>
        <w:numPr>
          <w:ilvl w:val="1"/>
          <w:numId w:val="14"/>
        </w:numPr>
        <w:tabs>
          <w:tab w:val="left" w:pos="993"/>
        </w:tabs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Подготовлено и размещено в федеральных и региональных СМИ </w:t>
      </w:r>
      <w:r>
        <w:rPr>
          <w:rFonts w:eastAsia="Times New Roman"/>
          <w:sz w:val="28"/>
          <w:szCs w:val="28"/>
        </w:rPr>
        <w:br/>
        <w:t>2 970 публикаций о продвижении региона и югорских предприятий.</w:t>
      </w:r>
    </w:p>
    <w:p w14:paraId="24036855" w14:textId="77777777" w:rsidR="00C376B7" w:rsidRDefault="00C376B7">
      <w:pPr>
        <w:jc w:val="both"/>
        <w:rPr>
          <w:rFonts w:eastAsia="Times New Roman"/>
          <w:sz w:val="28"/>
          <w:szCs w:val="28"/>
        </w:rPr>
      </w:pPr>
    </w:p>
    <w:p w14:paraId="4572BB5E" w14:textId="35F5C9BA" w:rsidR="00C376B7" w:rsidRPr="00530702" w:rsidRDefault="00DA720F" w:rsidP="00530702">
      <w:pPr>
        <w:pStyle w:val="a3"/>
        <w:numPr>
          <w:ilvl w:val="0"/>
          <w:numId w:val="14"/>
        </w:numPr>
        <w:jc w:val="center"/>
        <w:rPr>
          <w:color w:val="000000" w:themeColor="text1"/>
          <w:sz w:val="28"/>
          <w:szCs w:val="28"/>
        </w:rPr>
      </w:pPr>
      <w:r w:rsidRPr="00530702">
        <w:rPr>
          <w:color w:val="000000" w:themeColor="text1"/>
          <w:sz w:val="28"/>
          <w:szCs w:val="28"/>
        </w:rPr>
        <w:t>Показатели эффективности Фонда развития Югры за 2025 год:</w:t>
      </w:r>
    </w:p>
    <w:p w14:paraId="5D8AD9F7" w14:textId="77777777" w:rsidR="00C376B7" w:rsidRDefault="00C376B7">
      <w:pPr>
        <w:ind w:firstLine="709"/>
        <w:contextualSpacing/>
        <w:jc w:val="center"/>
        <w:rPr>
          <w:color w:val="000000" w:themeColor="text1"/>
          <w:sz w:val="28"/>
          <w:szCs w:val="28"/>
        </w:rPr>
      </w:pPr>
    </w:p>
    <w:tbl>
      <w:tblPr>
        <w:tblW w:w="9929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28"/>
        <w:gridCol w:w="4761"/>
        <w:gridCol w:w="1134"/>
        <w:gridCol w:w="850"/>
        <w:gridCol w:w="851"/>
        <w:gridCol w:w="1705"/>
      </w:tblGrid>
      <w:tr w:rsidR="00C376B7" w14:paraId="6293149A" w14:textId="77777777">
        <w:trPr>
          <w:trHeight w:val="397"/>
          <w:jc w:val="center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32D8CA3F" w14:textId="77777777" w:rsidR="00C376B7" w:rsidRDefault="00DA720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№ п/п</w:t>
            </w:r>
          </w:p>
        </w:tc>
        <w:tc>
          <w:tcPr>
            <w:tcW w:w="47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41D3B3D8" w14:textId="77777777" w:rsidR="00C376B7" w:rsidRDefault="00DA720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71A740F4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Ед. изм.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3873C887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2025 год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4CE0AE7F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Достигнутый результат, в % </w:t>
            </w:r>
          </w:p>
        </w:tc>
      </w:tr>
      <w:tr w:rsidR="00C376B7" w14:paraId="29A5E560" w14:textId="77777777">
        <w:trPr>
          <w:trHeight w:val="80"/>
          <w:jc w:val="center"/>
        </w:trPr>
        <w:tc>
          <w:tcPr>
            <w:tcW w:w="6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3F8A4950" w14:textId="77777777" w:rsidR="00C376B7" w:rsidRDefault="00C376B7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47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372B5515" w14:textId="77777777" w:rsidR="00C376B7" w:rsidRDefault="00C376B7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146BEA5D" w14:textId="77777777" w:rsidR="00C376B7" w:rsidRDefault="00C376B7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0B0A9C33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3116FCA9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Факт</w:t>
            </w:r>
          </w:p>
        </w:tc>
        <w:tc>
          <w:tcPr>
            <w:tcW w:w="1705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59E7B8B5" w14:textId="77777777" w:rsidR="00C376B7" w:rsidRDefault="00C376B7"/>
        </w:tc>
      </w:tr>
      <w:tr w:rsidR="00C376B7" w14:paraId="6AABE455" w14:textId="77777777">
        <w:trPr>
          <w:trHeight w:val="495"/>
          <w:jc w:val="center"/>
        </w:trPr>
        <w:tc>
          <w:tcPr>
            <w:tcW w:w="62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5C5D63BF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47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05C8885B" w14:textId="77777777" w:rsidR="00C376B7" w:rsidRDefault="00DA720F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Объем инвестиций, привлеченных за отчетный период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7923C919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млрд рублей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6CE6AD34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688F9E19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4,55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68B108CF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101,1%</w:t>
            </w:r>
          </w:p>
        </w:tc>
      </w:tr>
      <w:tr w:rsidR="00C376B7" w14:paraId="6064B428" w14:textId="77777777">
        <w:trPr>
          <w:trHeight w:val="450"/>
          <w:jc w:val="center"/>
        </w:trPr>
        <w:tc>
          <w:tcPr>
            <w:tcW w:w="62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5F6389BD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47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08A7F0FA" w14:textId="77777777" w:rsidR="00C376B7" w:rsidRDefault="00DA720F">
            <w:pPr>
              <w:jc w:val="both"/>
              <w:rPr>
                <w:rFonts w:eastAsia="Times New Roman"/>
                <w:color w:val="000000"/>
              </w:rPr>
            </w:pPr>
            <w:r>
              <w:t>Количество проектов по повышению производительности труда по направлению «Бережливое производство»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2DD46E14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498FC524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>8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2B8AC1AF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>8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0535149E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100,0%</w:t>
            </w:r>
          </w:p>
        </w:tc>
      </w:tr>
      <w:tr w:rsidR="00C376B7" w14:paraId="7190A017" w14:textId="77777777">
        <w:trPr>
          <w:trHeight w:val="630"/>
          <w:jc w:val="center"/>
        </w:trPr>
        <w:tc>
          <w:tcPr>
            <w:tcW w:w="62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12605CAB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47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15CFC272" w14:textId="77777777" w:rsidR="00C376B7" w:rsidRDefault="00DA720F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Обеспечение участия делегации Ханты-Мансийского автономного округа - Югры в мероприятиях, направленных на продвижение промышленной продукции производителей Ханты-Мансийского автономного округа - Югры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5E635D57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2500A8DA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>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255A694C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  <w:shd w:val="clear" w:color="FFFFFF" w:themeColor="background1" w:fill="FFFFFF" w:themeFill="background1"/>
                <w:lang w:val="en-US"/>
              </w:rPr>
              <w:t>4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188641A2" w14:textId="77777777" w:rsidR="00C376B7" w:rsidRDefault="00DA720F">
            <w:pPr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133,3%</w:t>
            </w:r>
          </w:p>
        </w:tc>
      </w:tr>
      <w:tr w:rsidR="00C376B7" w14:paraId="7E0FCE47" w14:textId="77777777">
        <w:trPr>
          <w:trHeight w:val="1260"/>
          <w:jc w:val="center"/>
        </w:trPr>
        <w:tc>
          <w:tcPr>
            <w:tcW w:w="62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545A940E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47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31EEC71C" w14:textId="77777777" w:rsidR="00C376B7" w:rsidRDefault="00DA720F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Проведение мероприятий, направленных на продвижение продукции сельскохозяйственных товаропроизводителей Ханты-Мансийского автономного округа - Югры, в соответствии с планом основных мероприятий, реализуемых Правительством и исполнительными органами Ханты-Мансийского автономного округа – Югры в 2025 году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305957D6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6E8B7E56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>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787AA206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>8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13A6B8E4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160,0%</w:t>
            </w:r>
          </w:p>
        </w:tc>
      </w:tr>
      <w:tr w:rsidR="00C376B7" w14:paraId="13E0E103" w14:textId="77777777">
        <w:trPr>
          <w:trHeight w:val="420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3F6976A0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4BF8A347" w14:textId="77777777" w:rsidR="00C376B7" w:rsidRDefault="00DA720F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Проведение мероприятий, направленных на продвижение туристического потенциала Ханты-Мансийского автономного округа - Югры, в соответствии с планом основных мероприятий, реализуемых Правительством и исполнительными органами Ханты-Мансийского автономного округа – Югры в 2025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1C9CBBC1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43DB903D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593945AE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  <w:shd w:val="clear" w:color="FFFFFF" w:themeColor="background1" w:fill="FFFFFF" w:themeFill="background1"/>
                <w:lang w:val="en-US"/>
              </w:rPr>
              <w:t>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05331608" w14:textId="77777777" w:rsidR="00C376B7" w:rsidRDefault="00DA720F">
            <w:pPr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175,0%</w:t>
            </w:r>
          </w:p>
        </w:tc>
      </w:tr>
      <w:tr w:rsidR="00C376B7" w14:paraId="131BC1E9" w14:textId="77777777">
        <w:trPr>
          <w:trHeight w:val="630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3524FB18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47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66C19ABD" w14:textId="77777777" w:rsidR="00C376B7" w:rsidRDefault="00DA720F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Численность размещенных лиц в коллективных средствах размещения 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2C5A2864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тыс. 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19CC551A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>30,8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4EE998F1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>30,8</w:t>
            </w:r>
          </w:p>
        </w:tc>
        <w:tc>
          <w:tcPr>
            <w:tcW w:w="17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729D2EDD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100,0%</w:t>
            </w:r>
          </w:p>
        </w:tc>
      </w:tr>
      <w:tr w:rsidR="00C376B7" w14:paraId="093069E3" w14:textId="77777777">
        <w:trPr>
          <w:trHeight w:val="630"/>
          <w:jc w:val="center"/>
        </w:trPr>
        <w:tc>
          <w:tcPr>
            <w:tcW w:w="62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2AEAB13B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47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089DF702" w14:textId="77777777" w:rsidR="00C376B7" w:rsidRDefault="00DA720F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Количество субъектов деятельности в сфере промышленности и туризма, получивших финансовую поддержку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2F19C1A6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0A26C072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>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0BB17F4D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  <w:shd w:val="clear" w:color="FFFFFF" w:themeColor="background1" w:fill="FFFFFF" w:themeFill="background1"/>
              </w:rPr>
              <w:t>5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336D750E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100,0%</w:t>
            </w:r>
          </w:p>
        </w:tc>
      </w:tr>
      <w:tr w:rsidR="00C376B7" w14:paraId="2FFB4F27" w14:textId="77777777">
        <w:trPr>
          <w:trHeight w:val="630"/>
          <w:jc w:val="center"/>
        </w:trPr>
        <w:tc>
          <w:tcPr>
            <w:tcW w:w="62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215AEE1A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47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386D1D9C" w14:textId="77777777" w:rsidR="00C376B7" w:rsidRDefault="00DA720F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Количество концессионных соглашений, заключенных в отчетном периоде, по которым Фондом развития Югры осуществлялась подготовка проектов концессионных соглашений (в т.ч. юридическая, финасово-экономическая экспертиза)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4D15AC0F" w14:textId="77777777" w:rsidR="00C376B7" w:rsidRDefault="00DA720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537692BD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>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06E84DF5" w14:textId="77777777" w:rsidR="00C376B7" w:rsidRDefault="00DA720F">
            <w:pPr>
              <w:jc w:val="center"/>
              <w:rPr>
                <w:rFonts w:eastAsia="Times New Roman"/>
                <w:highlight w:val="white"/>
              </w:rPr>
            </w:pPr>
            <w:r>
              <w:rPr>
                <w:rFonts w:eastAsia="Times New Roman"/>
                <w:highlight w:val="white"/>
              </w:rPr>
              <w:t>3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14:paraId="190355B2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100,0%</w:t>
            </w:r>
          </w:p>
        </w:tc>
      </w:tr>
    </w:tbl>
    <w:p w14:paraId="57185B91" w14:textId="77777777" w:rsidR="00C376B7" w:rsidRDefault="00C376B7">
      <w:pPr>
        <w:contextualSpacing/>
        <w:rPr>
          <w:color w:val="000000" w:themeColor="text1"/>
          <w:sz w:val="28"/>
          <w:szCs w:val="28"/>
        </w:rPr>
      </w:pPr>
    </w:p>
    <w:p w14:paraId="5C7D9FB1" w14:textId="12640987" w:rsidR="00C376B7" w:rsidRPr="00530702" w:rsidRDefault="00DA720F" w:rsidP="00530702">
      <w:pPr>
        <w:pStyle w:val="a3"/>
        <w:numPr>
          <w:ilvl w:val="0"/>
          <w:numId w:val="14"/>
        </w:numPr>
        <w:jc w:val="center"/>
        <w:rPr>
          <w:color w:val="000000" w:themeColor="text1"/>
          <w:sz w:val="28"/>
          <w:szCs w:val="28"/>
        </w:rPr>
      </w:pPr>
      <w:r w:rsidRPr="00530702">
        <w:rPr>
          <w:color w:val="000000" w:themeColor="text1"/>
          <w:sz w:val="28"/>
          <w:szCs w:val="28"/>
        </w:rPr>
        <w:t>Показатели эффективности Фонда развития Югры на 2026 год:</w:t>
      </w:r>
    </w:p>
    <w:p w14:paraId="5A643738" w14:textId="77777777" w:rsidR="00C376B7" w:rsidRDefault="00C376B7">
      <w:pPr>
        <w:ind w:firstLine="709"/>
        <w:contextualSpacing/>
        <w:jc w:val="center"/>
        <w:rPr>
          <w:caps/>
          <w:color w:val="000000" w:themeColor="text1"/>
          <w:sz w:val="28"/>
          <w:szCs w:val="28"/>
        </w:rPr>
      </w:pP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7"/>
        <w:gridCol w:w="992"/>
        <w:gridCol w:w="1141"/>
      </w:tblGrid>
      <w:tr w:rsidR="00C376B7" w14:paraId="6764F855" w14:textId="77777777">
        <w:trPr>
          <w:trHeight w:val="14"/>
          <w:jc w:val="center"/>
        </w:trPr>
        <w:tc>
          <w:tcPr>
            <w:tcW w:w="704" w:type="dxa"/>
            <w:vAlign w:val="center"/>
          </w:tcPr>
          <w:p w14:paraId="51A74B17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№ п/п</w:t>
            </w:r>
          </w:p>
        </w:tc>
        <w:tc>
          <w:tcPr>
            <w:tcW w:w="7097" w:type="dxa"/>
            <w:vAlign w:val="center"/>
          </w:tcPr>
          <w:p w14:paraId="19F892D7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Наименование показателя </w:t>
            </w:r>
          </w:p>
        </w:tc>
        <w:tc>
          <w:tcPr>
            <w:tcW w:w="992" w:type="dxa"/>
            <w:vAlign w:val="center"/>
          </w:tcPr>
          <w:p w14:paraId="702601A4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Ед. изм.</w:t>
            </w:r>
          </w:p>
        </w:tc>
        <w:tc>
          <w:tcPr>
            <w:tcW w:w="1141" w:type="dxa"/>
          </w:tcPr>
          <w:p w14:paraId="7D19F1FA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План на 2026 год</w:t>
            </w:r>
          </w:p>
        </w:tc>
      </w:tr>
      <w:tr w:rsidR="00C376B7" w14:paraId="6F392885" w14:textId="77777777">
        <w:trPr>
          <w:trHeight w:val="534"/>
          <w:jc w:val="center"/>
        </w:trPr>
        <w:tc>
          <w:tcPr>
            <w:tcW w:w="704" w:type="dxa"/>
            <w:vAlign w:val="center"/>
          </w:tcPr>
          <w:p w14:paraId="2797C01A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7097" w:type="dxa"/>
            <w:vAlign w:val="center"/>
          </w:tcPr>
          <w:p w14:paraId="03B17C84" w14:textId="77777777" w:rsidR="00C376B7" w:rsidRDefault="00DA720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Объем инвестиций, привлеченных в отчетном периоде</w:t>
            </w:r>
          </w:p>
        </w:tc>
        <w:tc>
          <w:tcPr>
            <w:tcW w:w="992" w:type="dxa"/>
            <w:vAlign w:val="center"/>
          </w:tcPr>
          <w:p w14:paraId="4B0289FA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млрд рублей</w:t>
            </w:r>
          </w:p>
        </w:tc>
        <w:tc>
          <w:tcPr>
            <w:tcW w:w="1141" w:type="dxa"/>
            <w:vAlign w:val="center"/>
          </w:tcPr>
          <w:p w14:paraId="3B74143C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4,5</w:t>
            </w:r>
          </w:p>
        </w:tc>
      </w:tr>
      <w:tr w:rsidR="00C376B7" w14:paraId="0AE43D1D" w14:textId="77777777">
        <w:trPr>
          <w:trHeight w:val="542"/>
          <w:jc w:val="center"/>
        </w:trPr>
        <w:tc>
          <w:tcPr>
            <w:tcW w:w="704" w:type="dxa"/>
            <w:vAlign w:val="center"/>
          </w:tcPr>
          <w:p w14:paraId="7ED477A4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7097" w:type="dxa"/>
            <w:vAlign w:val="center"/>
          </w:tcPr>
          <w:p w14:paraId="37FEBC33" w14:textId="77777777" w:rsidR="00C376B7" w:rsidRDefault="00DA720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Количество реализованных соглашений в рамках федерального проекта "повышение производительности труда"</w:t>
            </w:r>
          </w:p>
        </w:tc>
        <w:tc>
          <w:tcPr>
            <w:tcW w:w="992" w:type="dxa"/>
            <w:vAlign w:val="center"/>
          </w:tcPr>
          <w:p w14:paraId="4286C07A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шт.</w:t>
            </w:r>
          </w:p>
        </w:tc>
        <w:tc>
          <w:tcPr>
            <w:tcW w:w="1141" w:type="dxa"/>
            <w:vAlign w:val="center"/>
          </w:tcPr>
          <w:p w14:paraId="4692DAE4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C376B7" w14:paraId="5EA30928" w14:textId="77777777">
        <w:trPr>
          <w:trHeight w:val="595"/>
          <w:jc w:val="center"/>
        </w:trPr>
        <w:tc>
          <w:tcPr>
            <w:tcW w:w="704" w:type="dxa"/>
            <w:vAlign w:val="center"/>
          </w:tcPr>
          <w:p w14:paraId="710944AB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7097" w:type="dxa"/>
            <w:vAlign w:val="center"/>
          </w:tcPr>
          <w:p w14:paraId="0B9C4ABC" w14:textId="77777777" w:rsidR="00C376B7" w:rsidRDefault="00DA720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Обеспечение участия делегации Ханты-Мансийского автономного округа - Югры в мероприятиях, направленных на продвижение промышленной продукции производителей Ханты-Мансийского автономного округа - Югры, инвестиционного потенциала Ханты-Мансийского автономного округа - Югры </w:t>
            </w:r>
          </w:p>
        </w:tc>
        <w:tc>
          <w:tcPr>
            <w:tcW w:w="992" w:type="dxa"/>
            <w:vAlign w:val="center"/>
          </w:tcPr>
          <w:p w14:paraId="05EBD675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шт.</w:t>
            </w:r>
          </w:p>
        </w:tc>
        <w:tc>
          <w:tcPr>
            <w:tcW w:w="1141" w:type="dxa"/>
            <w:vAlign w:val="center"/>
          </w:tcPr>
          <w:p w14:paraId="438EF6E8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C376B7" w14:paraId="1CF99B6D" w14:textId="77777777">
        <w:trPr>
          <w:trHeight w:val="1620"/>
          <w:jc w:val="center"/>
        </w:trPr>
        <w:tc>
          <w:tcPr>
            <w:tcW w:w="704" w:type="dxa"/>
            <w:vAlign w:val="center"/>
          </w:tcPr>
          <w:p w14:paraId="2FA32C6F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7097" w:type="dxa"/>
            <w:vAlign w:val="center"/>
          </w:tcPr>
          <w:p w14:paraId="21EC5D31" w14:textId="77777777" w:rsidR="00C376B7" w:rsidRDefault="00DA720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мероприятий, направленных на продвижение продукции сельскохозяйственных товаропроизводителей Ханты-Мансийского автономного округа - Югры, в соответствии с планом основных мероприятий, реализуемых Правительством и исполнительными органами Ханты-Мансийского автономного округа – Югры в 2026 году</w:t>
            </w:r>
          </w:p>
        </w:tc>
        <w:tc>
          <w:tcPr>
            <w:tcW w:w="992" w:type="dxa"/>
            <w:vAlign w:val="center"/>
          </w:tcPr>
          <w:p w14:paraId="03BFE37E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шт.</w:t>
            </w:r>
          </w:p>
        </w:tc>
        <w:tc>
          <w:tcPr>
            <w:tcW w:w="1141" w:type="dxa"/>
            <w:vAlign w:val="center"/>
          </w:tcPr>
          <w:p w14:paraId="7386FF35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C376B7" w14:paraId="631F7F90" w14:textId="77777777">
        <w:trPr>
          <w:trHeight w:val="91"/>
          <w:jc w:val="center"/>
        </w:trPr>
        <w:tc>
          <w:tcPr>
            <w:tcW w:w="704" w:type="dxa"/>
            <w:vAlign w:val="center"/>
          </w:tcPr>
          <w:p w14:paraId="2ECC7226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7097" w:type="dxa"/>
            <w:vAlign w:val="center"/>
          </w:tcPr>
          <w:p w14:paraId="7443F591" w14:textId="77777777" w:rsidR="00C376B7" w:rsidRDefault="00DA720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мероприятий, направленных на продвижение туристического потенциала Ханты-Мансийского автономного округа - Югры, в соответствии с планом основных мероприятий, реализуемых Правительством и исполнительными органами Ханты-Мансийского автономного округа – Югры в 2026 году</w:t>
            </w:r>
          </w:p>
        </w:tc>
        <w:tc>
          <w:tcPr>
            <w:tcW w:w="992" w:type="dxa"/>
            <w:vAlign w:val="center"/>
          </w:tcPr>
          <w:p w14:paraId="6E30ACBD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шт.</w:t>
            </w:r>
          </w:p>
        </w:tc>
        <w:tc>
          <w:tcPr>
            <w:tcW w:w="1141" w:type="dxa"/>
            <w:vAlign w:val="center"/>
          </w:tcPr>
          <w:p w14:paraId="5C5FD29C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C376B7" w14:paraId="708C5632" w14:textId="77777777">
        <w:trPr>
          <w:jc w:val="center"/>
        </w:trPr>
        <w:tc>
          <w:tcPr>
            <w:tcW w:w="704" w:type="dxa"/>
            <w:vAlign w:val="center"/>
          </w:tcPr>
          <w:p w14:paraId="4A6DAFCC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7097" w:type="dxa"/>
            <w:vAlign w:val="center"/>
          </w:tcPr>
          <w:p w14:paraId="6CFE01F1" w14:textId="77777777" w:rsidR="00C376B7" w:rsidRDefault="00DA720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мероприятий, направленных на реализацию проекта "Открой твою Россию"</w:t>
            </w:r>
          </w:p>
        </w:tc>
        <w:tc>
          <w:tcPr>
            <w:tcW w:w="992" w:type="dxa"/>
            <w:vAlign w:val="center"/>
          </w:tcPr>
          <w:p w14:paraId="679D7CC6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шт.</w:t>
            </w:r>
          </w:p>
        </w:tc>
        <w:tc>
          <w:tcPr>
            <w:tcW w:w="1141" w:type="dxa"/>
            <w:vAlign w:val="center"/>
          </w:tcPr>
          <w:p w14:paraId="1FC8AC72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C376B7" w14:paraId="2059DBAD" w14:textId="77777777">
        <w:trPr>
          <w:jc w:val="center"/>
        </w:trPr>
        <w:tc>
          <w:tcPr>
            <w:tcW w:w="704" w:type="dxa"/>
            <w:vAlign w:val="center"/>
          </w:tcPr>
          <w:p w14:paraId="52D3B2A0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7097" w:type="dxa"/>
            <w:vAlign w:val="center"/>
          </w:tcPr>
          <w:p w14:paraId="1E7884B6" w14:textId="77777777" w:rsidR="00C376B7" w:rsidRDefault="00DA720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Количество субъектов деятельности в сфере промышленности и туризма, получивших финансовую поддержку </w:t>
            </w:r>
          </w:p>
        </w:tc>
        <w:tc>
          <w:tcPr>
            <w:tcW w:w="992" w:type="dxa"/>
            <w:vAlign w:val="center"/>
          </w:tcPr>
          <w:p w14:paraId="1087F2C4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шт.</w:t>
            </w:r>
          </w:p>
        </w:tc>
        <w:tc>
          <w:tcPr>
            <w:tcW w:w="1141" w:type="dxa"/>
            <w:vAlign w:val="center"/>
          </w:tcPr>
          <w:p w14:paraId="4A7908F7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C376B7" w14:paraId="06A22E93" w14:textId="77777777">
        <w:trPr>
          <w:trHeight w:val="810"/>
          <w:jc w:val="center"/>
        </w:trPr>
        <w:tc>
          <w:tcPr>
            <w:tcW w:w="704" w:type="dxa"/>
            <w:vAlign w:val="center"/>
          </w:tcPr>
          <w:p w14:paraId="324D3D90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7097" w:type="dxa"/>
            <w:vAlign w:val="center"/>
          </w:tcPr>
          <w:p w14:paraId="583F7C40" w14:textId="77777777" w:rsidR="00C376B7" w:rsidRDefault="00DA720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Обеспечение создания объектов инженерной инфраструктуры создаваемого индустриального парка (промышленной площадки) в г. Когалым</w:t>
            </w:r>
          </w:p>
        </w:tc>
        <w:tc>
          <w:tcPr>
            <w:tcW w:w="992" w:type="dxa"/>
            <w:vAlign w:val="center"/>
          </w:tcPr>
          <w:p w14:paraId="168E9345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шт.</w:t>
            </w:r>
          </w:p>
        </w:tc>
        <w:tc>
          <w:tcPr>
            <w:tcW w:w="1141" w:type="dxa"/>
            <w:vAlign w:val="center"/>
          </w:tcPr>
          <w:p w14:paraId="76B486BE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C376B7" w14:paraId="1101CEF5" w14:textId="77777777">
        <w:trPr>
          <w:trHeight w:val="1575"/>
          <w:jc w:val="center"/>
        </w:trPr>
        <w:tc>
          <w:tcPr>
            <w:tcW w:w="704" w:type="dxa"/>
            <w:vAlign w:val="center"/>
          </w:tcPr>
          <w:p w14:paraId="16E16125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7097" w:type="dxa"/>
            <w:vAlign w:val="center"/>
          </w:tcPr>
          <w:p w14:paraId="5F589491" w14:textId="77777777" w:rsidR="00C376B7" w:rsidRDefault="00DA720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Национальный проект «Туризм и гостеприимство». Показатель Количество туристических поездок по территории Российской Федерации (по региону Ханты-Мансийский автономный округ - Югра)</w:t>
            </w:r>
          </w:p>
          <w:p w14:paraId="64486D7E" w14:textId="77777777" w:rsidR="00C376B7" w:rsidRDefault="00DA720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*</w:t>
            </w:r>
            <w:r>
              <w:rPr>
                <w:rFonts w:eastAsia="Times New Roman"/>
                <w:i/>
                <w:iCs/>
              </w:rPr>
              <w:t>показатель рассчитывается нарастающим итогом</w:t>
            </w:r>
          </w:p>
        </w:tc>
        <w:tc>
          <w:tcPr>
            <w:tcW w:w="992" w:type="dxa"/>
            <w:vAlign w:val="center"/>
          </w:tcPr>
          <w:p w14:paraId="499D6D6A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тыс. чел.</w:t>
            </w:r>
          </w:p>
        </w:tc>
        <w:tc>
          <w:tcPr>
            <w:tcW w:w="1141" w:type="dxa"/>
            <w:vAlign w:val="center"/>
          </w:tcPr>
          <w:p w14:paraId="377B51E7" w14:textId="77777777" w:rsidR="00C376B7" w:rsidRDefault="00DA720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800,0</w:t>
            </w:r>
          </w:p>
        </w:tc>
      </w:tr>
    </w:tbl>
    <w:p w14:paraId="0D6D3DC9" w14:textId="77777777" w:rsidR="00C376B7" w:rsidRDefault="00C376B7"/>
    <w:p w14:paraId="098CD836" w14:textId="0466462E" w:rsidR="00530702" w:rsidRDefault="00530702" w:rsidP="00530702">
      <w:pPr>
        <w:ind w:left="-426" w:firstLine="708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9. Перспективные стратегические направления развития Фонда</w:t>
      </w:r>
    </w:p>
    <w:p w14:paraId="7B4F3587" w14:textId="77777777" w:rsidR="00530702" w:rsidRDefault="00530702" w:rsidP="00530702">
      <w:pPr>
        <w:ind w:left="-426"/>
        <w:jc w:val="both"/>
        <w:rPr>
          <w:rFonts w:eastAsia="Times New Roman"/>
          <w:sz w:val="20"/>
          <w:szCs w:val="20"/>
        </w:rPr>
      </w:pPr>
    </w:p>
    <w:p w14:paraId="28C578CD" w14:textId="77777777" w:rsidR="00530702" w:rsidRDefault="00530702" w:rsidP="00530702">
      <w:pPr>
        <w:tabs>
          <w:tab w:val="left" w:pos="709"/>
          <w:tab w:val="left" w:pos="1134"/>
        </w:tabs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привлечение резидентов (Арктическая зона, ОЭЗ «Нягань»);</w:t>
      </w:r>
    </w:p>
    <w:p w14:paraId="3AB81495" w14:textId="77777777" w:rsidR="00530702" w:rsidRDefault="00530702" w:rsidP="00530702">
      <w:pPr>
        <w:tabs>
          <w:tab w:val="left" w:pos="709"/>
          <w:tab w:val="left" w:pos="1134"/>
        </w:tabs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сопровождение инвестиционных проектов;</w:t>
      </w:r>
    </w:p>
    <w:p w14:paraId="42FA763D" w14:textId="77777777" w:rsidR="00530702" w:rsidRDefault="00530702" w:rsidP="00530702">
      <w:pPr>
        <w:tabs>
          <w:tab w:val="left" w:pos="709"/>
          <w:tab w:val="left" w:pos="1134"/>
        </w:tabs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финансовая поддержка инвестиционных проектов (льготное финансирование);</w:t>
      </w:r>
    </w:p>
    <w:p w14:paraId="1D96E165" w14:textId="77777777" w:rsidR="00530702" w:rsidRDefault="00530702" w:rsidP="00530702">
      <w:pPr>
        <w:tabs>
          <w:tab w:val="left" w:pos="709"/>
          <w:tab w:val="left" w:pos="1134"/>
        </w:tabs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туристической инфраструктуры;</w:t>
      </w:r>
    </w:p>
    <w:p w14:paraId="4051B45C" w14:textId="77777777" w:rsidR="00530702" w:rsidRDefault="00530702" w:rsidP="00530702">
      <w:pPr>
        <w:tabs>
          <w:tab w:val="left" w:pos="709"/>
          <w:tab w:val="left" w:pos="1134"/>
        </w:tabs>
        <w:ind w:left="-42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развитие информационных ресурсов/систем в сети Интернет: Инвестиционная карта Югры, Инвестиционный портал Югры, Единая цифровая туристическая платформа </w:t>
      </w:r>
      <w:proofErr w:type="spellStart"/>
      <w:r>
        <w:rPr>
          <w:rFonts w:eastAsia="Times New Roman"/>
          <w:sz w:val="28"/>
          <w:szCs w:val="28"/>
        </w:rPr>
        <w:t>VisitUgra</w:t>
      </w:r>
      <w:proofErr w:type="spellEnd"/>
      <w:r>
        <w:rPr>
          <w:rFonts w:eastAsia="Times New Roman"/>
          <w:sz w:val="28"/>
          <w:szCs w:val="28"/>
        </w:rPr>
        <w:t>;</w:t>
      </w:r>
    </w:p>
    <w:p w14:paraId="32E80503" w14:textId="5EBB2FA7" w:rsidR="00C376B7" w:rsidRDefault="00530702" w:rsidP="003709F1">
      <w:pPr>
        <w:tabs>
          <w:tab w:val="left" w:pos="709"/>
          <w:tab w:val="left" w:pos="1134"/>
        </w:tabs>
        <w:ind w:left="-426" w:firstLine="709"/>
        <w:jc w:val="both"/>
      </w:pPr>
      <w:r>
        <w:rPr>
          <w:rFonts w:eastAsia="Times New Roman"/>
          <w:sz w:val="28"/>
          <w:szCs w:val="28"/>
        </w:rPr>
        <w:t>организация и проведение выставок-ярмарок югорских товаропроизводителей.</w:t>
      </w:r>
    </w:p>
    <w:sectPr w:rsidR="00C376B7">
      <w:headerReference w:type="default" r:id="rId7"/>
      <w:headerReference w:type="first" r:id="rId8"/>
      <w:footerReference w:type="first" r:id="rId9"/>
      <w:pgSz w:w="11906" w:h="16838"/>
      <w:pgMar w:top="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C9E87" w14:textId="77777777" w:rsidR="0082386C" w:rsidRDefault="0082386C">
      <w:r>
        <w:separator/>
      </w:r>
    </w:p>
  </w:endnote>
  <w:endnote w:type="continuationSeparator" w:id="0">
    <w:p w14:paraId="34903CCE" w14:textId="77777777" w:rsidR="0082386C" w:rsidRDefault="0082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D188A" w14:textId="77777777" w:rsidR="00C376B7" w:rsidRDefault="00C376B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933C5" w14:textId="77777777" w:rsidR="0082386C" w:rsidRDefault="0082386C">
      <w:r>
        <w:separator/>
      </w:r>
    </w:p>
  </w:footnote>
  <w:footnote w:type="continuationSeparator" w:id="0">
    <w:p w14:paraId="7FEC74FD" w14:textId="77777777" w:rsidR="0082386C" w:rsidRDefault="0082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8F00C" w14:textId="77777777" w:rsidR="00C376B7" w:rsidRDefault="00DA720F">
    <w:pPr>
      <w:pStyle w:val="ab"/>
      <w:jc w:val="center"/>
    </w:pPr>
    <w:r>
      <w:fldChar w:fldCharType="begin"/>
    </w:r>
    <w:r>
      <w:instrText>PAGE \* MERGEFORMAT</w:instrText>
    </w:r>
    <w:r>
      <w:fldChar w:fldCharType="separate"/>
    </w:r>
    <w:r>
      <w:t>6</w:t>
    </w:r>
    <w:r>
      <w:fldChar w:fldCharType="end"/>
    </w:r>
  </w:p>
  <w:p w14:paraId="263DCEEF" w14:textId="77777777" w:rsidR="00C376B7" w:rsidRDefault="00C376B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44287" w14:textId="77777777" w:rsidR="00C376B7" w:rsidRDefault="00C376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71C8E"/>
    <w:multiLevelType w:val="hybridMultilevel"/>
    <w:tmpl w:val="565C7260"/>
    <w:lvl w:ilvl="0" w:tplc="68B45E60">
      <w:start w:val="1"/>
      <w:numFmt w:val="bullet"/>
      <w:lvlText w:val="·"/>
      <w:lvlJc w:val="left"/>
      <w:pPr>
        <w:ind w:left="1417" w:hanging="360"/>
      </w:pPr>
      <w:rPr>
        <w:rFonts w:ascii="Symbol" w:eastAsia="Symbol" w:hAnsi="Symbol" w:cs="Symbol"/>
      </w:rPr>
    </w:lvl>
    <w:lvl w:ilvl="1" w:tplc="EE082F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3CAB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D897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2761C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3CEF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E3AF3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C8826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B18C3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9BF5FF9"/>
    <w:multiLevelType w:val="hybridMultilevel"/>
    <w:tmpl w:val="40D20996"/>
    <w:lvl w:ilvl="0" w:tplc="284C2DCC">
      <w:start w:val="1"/>
      <w:numFmt w:val="bullet"/>
      <w:lvlText w:val="·"/>
      <w:lvlJc w:val="left"/>
      <w:pPr>
        <w:ind w:left="1417" w:hanging="360"/>
      </w:pPr>
      <w:rPr>
        <w:rFonts w:ascii="Symbol" w:eastAsia="Symbol" w:hAnsi="Symbol" w:cs="Symbol"/>
      </w:rPr>
    </w:lvl>
    <w:lvl w:ilvl="1" w:tplc="51A485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8342E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3BECA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C866D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28F1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21E53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D2416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CA45B1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E1C5342"/>
    <w:multiLevelType w:val="hybridMultilevel"/>
    <w:tmpl w:val="BF1E8BFA"/>
    <w:lvl w:ilvl="0" w:tplc="7C146A5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65C9584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52E460C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290461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865632C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216491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0F06DD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6AE9FC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7FCA58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97D5AA9"/>
    <w:multiLevelType w:val="hybridMultilevel"/>
    <w:tmpl w:val="9D66D56C"/>
    <w:lvl w:ilvl="0" w:tplc="12384F92">
      <w:start w:val="1"/>
      <w:numFmt w:val="bullet"/>
      <w:lvlText w:val="·"/>
      <w:lvlJc w:val="left"/>
      <w:pPr>
        <w:ind w:left="1417" w:hanging="360"/>
      </w:pPr>
      <w:rPr>
        <w:rFonts w:ascii="Symbol" w:eastAsia="Symbol" w:hAnsi="Symbol" w:cs="Symbol"/>
      </w:rPr>
    </w:lvl>
    <w:lvl w:ilvl="1" w:tplc="EAC08E7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58291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1167B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97CE7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79C08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6AC46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F846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2298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A204DC8"/>
    <w:multiLevelType w:val="hybridMultilevel"/>
    <w:tmpl w:val="5E2C2116"/>
    <w:lvl w:ilvl="0" w:tplc="A4BC6C00">
      <w:start w:val="1"/>
      <w:numFmt w:val="bullet"/>
      <w:lvlText w:val="·"/>
      <w:lvlJc w:val="left"/>
      <w:pPr>
        <w:ind w:left="1417" w:hanging="360"/>
      </w:pPr>
      <w:rPr>
        <w:rFonts w:ascii="Symbol" w:eastAsia="Symbol" w:hAnsi="Symbol" w:cs="Symbol"/>
      </w:rPr>
    </w:lvl>
    <w:lvl w:ilvl="1" w:tplc="D1C04CD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0D5602D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7F36997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0F56B1F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6922DB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1DA4F4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2F74C07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B738772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EBF0A4B"/>
    <w:multiLevelType w:val="hybridMultilevel"/>
    <w:tmpl w:val="15E43B86"/>
    <w:lvl w:ilvl="0" w:tplc="0682207C">
      <w:start w:val="1"/>
      <w:numFmt w:val="bullet"/>
      <w:lvlText w:val="·"/>
      <w:lvlJc w:val="left"/>
      <w:pPr>
        <w:ind w:left="1417" w:hanging="360"/>
      </w:pPr>
      <w:rPr>
        <w:rFonts w:ascii="Symbol" w:eastAsia="Symbol" w:hAnsi="Symbol" w:cs="Symbol"/>
      </w:rPr>
    </w:lvl>
    <w:lvl w:ilvl="1" w:tplc="A66045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5A620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1B421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47A09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64EC4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2E484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C6E3E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5685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423A6B68"/>
    <w:multiLevelType w:val="hybridMultilevel"/>
    <w:tmpl w:val="8834A35C"/>
    <w:lvl w:ilvl="0" w:tplc="83C21662">
      <w:start w:val="1"/>
      <w:numFmt w:val="bullet"/>
      <w:lvlText w:val="·"/>
      <w:lvlJc w:val="left"/>
      <w:pPr>
        <w:ind w:left="1417" w:hanging="360"/>
      </w:pPr>
      <w:rPr>
        <w:rFonts w:ascii="Symbol" w:eastAsia="Symbol" w:hAnsi="Symbol" w:cs="Symbol"/>
      </w:rPr>
    </w:lvl>
    <w:lvl w:ilvl="1" w:tplc="0F1271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EF6665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AA069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5EE4A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7E25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12B8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DB40A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D4A8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49480CDE"/>
    <w:multiLevelType w:val="hybridMultilevel"/>
    <w:tmpl w:val="8286D9A2"/>
    <w:lvl w:ilvl="0" w:tplc="9F90E066">
      <w:start w:val="1"/>
      <w:numFmt w:val="bullet"/>
      <w:lvlText w:val="·"/>
      <w:lvlJc w:val="left"/>
      <w:pPr>
        <w:ind w:left="1417" w:hanging="360"/>
      </w:pPr>
      <w:rPr>
        <w:rFonts w:ascii="Symbol" w:eastAsia="Symbol" w:hAnsi="Symbol" w:cs="Symbol"/>
      </w:rPr>
    </w:lvl>
    <w:lvl w:ilvl="1" w:tplc="58A4DD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8F042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46D4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2AC95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FEAF7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49484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746D5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106AB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DC555A9"/>
    <w:multiLevelType w:val="hybridMultilevel"/>
    <w:tmpl w:val="12E42C78"/>
    <w:lvl w:ilvl="0" w:tplc="6BD65DB6">
      <w:start w:val="1"/>
      <w:numFmt w:val="decimal"/>
      <w:lvlText w:val="%1."/>
      <w:lvlJc w:val="left"/>
      <w:pPr>
        <w:ind w:left="1417" w:hanging="360"/>
      </w:pPr>
    </w:lvl>
    <w:lvl w:ilvl="1" w:tplc="837E08C6">
      <w:start w:val="1"/>
      <w:numFmt w:val="lowerLetter"/>
      <w:lvlText w:val="%2."/>
      <w:lvlJc w:val="left"/>
      <w:pPr>
        <w:ind w:left="2137" w:hanging="360"/>
      </w:pPr>
    </w:lvl>
    <w:lvl w:ilvl="2" w:tplc="EB28F0CC">
      <w:start w:val="1"/>
      <w:numFmt w:val="lowerRoman"/>
      <w:lvlText w:val="%3."/>
      <w:lvlJc w:val="right"/>
      <w:pPr>
        <w:ind w:left="2857" w:hanging="180"/>
      </w:pPr>
    </w:lvl>
    <w:lvl w:ilvl="3" w:tplc="820EE0E6">
      <w:start w:val="1"/>
      <w:numFmt w:val="decimal"/>
      <w:lvlText w:val="%4."/>
      <w:lvlJc w:val="left"/>
      <w:pPr>
        <w:ind w:left="3577" w:hanging="360"/>
      </w:pPr>
    </w:lvl>
    <w:lvl w:ilvl="4" w:tplc="681216A2">
      <w:start w:val="1"/>
      <w:numFmt w:val="lowerLetter"/>
      <w:lvlText w:val="%5."/>
      <w:lvlJc w:val="left"/>
      <w:pPr>
        <w:ind w:left="4297" w:hanging="360"/>
      </w:pPr>
    </w:lvl>
    <w:lvl w:ilvl="5" w:tplc="A1548D2E">
      <w:start w:val="1"/>
      <w:numFmt w:val="lowerRoman"/>
      <w:lvlText w:val="%6."/>
      <w:lvlJc w:val="right"/>
      <w:pPr>
        <w:ind w:left="5017" w:hanging="180"/>
      </w:pPr>
    </w:lvl>
    <w:lvl w:ilvl="6" w:tplc="8410D2A4">
      <w:start w:val="1"/>
      <w:numFmt w:val="decimal"/>
      <w:lvlText w:val="%7."/>
      <w:lvlJc w:val="left"/>
      <w:pPr>
        <w:ind w:left="5737" w:hanging="360"/>
      </w:pPr>
    </w:lvl>
    <w:lvl w:ilvl="7" w:tplc="99224DAE">
      <w:start w:val="1"/>
      <w:numFmt w:val="lowerLetter"/>
      <w:lvlText w:val="%8."/>
      <w:lvlJc w:val="left"/>
      <w:pPr>
        <w:ind w:left="6457" w:hanging="360"/>
      </w:pPr>
    </w:lvl>
    <w:lvl w:ilvl="8" w:tplc="8710F066">
      <w:start w:val="1"/>
      <w:numFmt w:val="lowerRoman"/>
      <w:lvlText w:val="%9."/>
      <w:lvlJc w:val="right"/>
      <w:pPr>
        <w:ind w:left="7177" w:hanging="180"/>
      </w:pPr>
    </w:lvl>
  </w:abstractNum>
  <w:abstractNum w:abstractNumId="9" w15:restartNumberingAfterBreak="0">
    <w:nsid w:val="51CE1B46"/>
    <w:multiLevelType w:val="multilevel"/>
    <w:tmpl w:val="2B8C1C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53FC1F3B"/>
    <w:multiLevelType w:val="hybridMultilevel"/>
    <w:tmpl w:val="BF8A88C0"/>
    <w:lvl w:ilvl="0" w:tplc="D62043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5C3C64">
      <w:start w:val="1"/>
      <w:numFmt w:val="lowerLetter"/>
      <w:lvlText w:val="%2."/>
      <w:lvlJc w:val="left"/>
      <w:pPr>
        <w:ind w:left="1440" w:hanging="360"/>
      </w:pPr>
    </w:lvl>
    <w:lvl w:ilvl="2" w:tplc="22A80C6C">
      <w:start w:val="1"/>
      <w:numFmt w:val="lowerRoman"/>
      <w:lvlText w:val="%3."/>
      <w:lvlJc w:val="right"/>
      <w:pPr>
        <w:ind w:left="2160" w:hanging="180"/>
      </w:pPr>
    </w:lvl>
    <w:lvl w:ilvl="3" w:tplc="DF2AF2DA">
      <w:start w:val="1"/>
      <w:numFmt w:val="decimal"/>
      <w:lvlText w:val="%4."/>
      <w:lvlJc w:val="left"/>
      <w:pPr>
        <w:ind w:left="2880" w:hanging="360"/>
      </w:pPr>
    </w:lvl>
    <w:lvl w:ilvl="4" w:tplc="1A186460">
      <w:start w:val="1"/>
      <w:numFmt w:val="lowerLetter"/>
      <w:lvlText w:val="%5."/>
      <w:lvlJc w:val="left"/>
      <w:pPr>
        <w:ind w:left="3600" w:hanging="360"/>
      </w:pPr>
    </w:lvl>
    <w:lvl w:ilvl="5" w:tplc="33E68258">
      <w:start w:val="1"/>
      <w:numFmt w:val="lowerRoman"/>
      <w:lvlText w:val="%6."/>
      <w:lvlJc w:val="right"/>
      <w:pPr>
        <w:ind w:left="4320" w:hanging="180"/>
      </w:pPr>
    </w:lvl>
    <w:lvl w:ilvl="6" w:tplc="E578D616">
      <w:start w:val="1"/>
      <w:numFmt w:val="decimal"/>
      <w:lvlText w:val="%7."/>
      <w:lvlJc w:val="left"/>
      <w:pPr>
        <w:ind w:left="5040" w:hanging="360"/>
      </w:pPr>
    </w:lvl>
    <w:lvl w:ilvl="7" w:tplc="A9A0D1B2">
      <w:start w:val="1"/>
      <w:numFmt w:val="lowerLetter"/>
      <w:lvlText w:val="%8."/>
      <w:lvlJc w:val="left"/>
      <w:pPr>
        <w:ind w:left="5760" w:hanging="360"/>
      </w:pPr>
    </w:lvl>
    <w:lvl w:ilvl="8" w:tplc="4376537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F10F9"/>
    <w:multiLevelType w:val="hybridMultilevel"/>
    <w:tmpl w:val="B1467FB2"/>
    <w:lvl w:ilvl="0" w:tplc="4948D734">
      <w:start w:val="1"/>
      <w:numFmt w:val="bullet"/>
      <w:lvlText w:val="·"/>
      <w:lvlJc w:val="left"/>
      <w:pPr>
        <w:ind w:left="1417" w:hanging="360"/>
      </w:pPr>
      <w:rPr>
        <w:rFonts w:ascii="Symbol" w:eastAsia="Symbol" w:hAnsi="Symbol" w:cs="Symbol"/>
      </w:rPr>
    </w:lvl>
    <w:lvl w:ilvl="1" w:tplc="83026CB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5D1463A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4E1CDA1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6FE784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3D2D4F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E720ED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024F5C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618B9E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62F21E37"/>
    <w:multiLevelType w:val="hybridMultilevel"/>
    <w:tmpl w:val="BDF60FA2"/>
    <w:lvl w:ilvl="0" w:tplc="129409C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607A89C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846C5C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BDAA6F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11EC00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1A8C9B4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A32A2C7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E7D0CDD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6FF692A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4A82D30"/>
    <w:multiLevelType w:val="multilevel"/>
    <w:tmpl w:val="73DC1DA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310868910">
    <w:abstractNumId w:val="11"/>
  </w:num>
  <w:num w:numId="2" w16cid:durableId="272439375">
    <w:abstractNumId w:val="0"/>
  </w:num>
  <w:num w:numId="3" w16cid:durableId="2136218143">
    <w:abstractNumId w:val="8"/>
  </w:num>
  <w:num w:numId="4" w16cid:durableId="889531980">
    <w:abstractNumId w:val="7"/>
  </w:num>
  <w:num w:numId="5" w16cid:durableId="1502429813">
    <w:abstractNumId w:val="3"/>
  </w:num>
  <w:num w:numId="6" w16cid:durableId="564144616">
    <w:abstractNumId w:val="6"/>
  </w:num>
  <w:num w:numId="7" w16cid:durableId="1637684480">
    <w:abstractNumId w:val="1"/>
  </w:num>
  <w:num w:numId="8" w16cid:durableId="1470517887">
    <w:abstractNumId w:val="4"/>
  </w:num>
  <w:num w:numId="9" w16cid:durableId="173767691">
    <w:abstractNumId w:val="5"/>
  </w:num>
  <w:num w:numId="10" w16cid:durableId="650209903">
    <w:abstractNumId w:val="2"/>
  </w:num>
  <w:num w:numId="11" w16cid:durableId="2009363881">
    <w:abstractNumId w:val="12"/>
  </w:num>
  <w:num w:numId="12" w16cid:durableId="1431045746">
    <w:abstractNumId w:val="9"/>
  </w:num>
  <w:num w:numId="13" w16cid:durableId="1675570459">
    <w:abstractNumId w:val="10"/>
  </w:num>
  <w:num w:numId="14" w16cid:durableId="2778397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6B7"/>
    <w:rsid w:val="00027AEF"/>
    <w:rsid w:val="002F2B92"/>
    <w:rsid w:val="003709F1"/>
    <w:rsid w:val="003A7545"/>
    <w:rsid w:val="00530702"/>
    <w:rsid w:val="0060039D"/>
    <w:rsid w:val="006272B3"/>
    <w:rsid w:val="00632C05"/>
    <w:rsid w:val="0077153F"/>
    <w:rsid w:val="00790DC8"/>
    <w:rsid w:val="007E3BA4"/>
    <w:rsid w:val="0082386C"/>
    <w:rsid w:val="00856345"/>
    <w:rsid w:val="00936289"/>
    <w:rsid w:val="00A01A3B"/>
    <w:rsid w:val="00A63B6F"/>
    <w:rsid w:val="00C376B7"/>
    <w:rsid w:val="00C531AC"/>
    <w:rsid w:val="00DA720F"/>
    <w:rsid w:val="00E15A75"/>
    <w:rsid w:val="00F41390"/>
    <w:rsid w:val="00F93D89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C3F0C"/>
  <w15:docId w15:val="{9E1DBBC8-28DC-44F7-9FC5-5993E0F7A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Revision"/>
    <w:hidden/>
    <w:uiPriority w:val="99"/>
    <w:semiHidden/>
    <w:rsid w:val="00C531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1944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Гамузов Виктор Владимирович</dc:creator>
  <cp:lastModifiedBy>f70</cp:lastModifiedBy>
  <cp:revision>9</cp:revision>
  <dcterms:created xsi:type="dcterms:W3CDTF">2026-05-29T08:11:00Z</dcterms:created>
  <dcterms:modified xsi:type="dcterms:W3CDTF">2026-06-02T09:11:00Z</dcterms:modified>
</cp:coreProperties>
</file>